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E997E" w14:textId="652580F2"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color w:val="DC6900"/>
          <w:sz w:val="20"/>
          <w:szCs w:val="20"/>
        </w:rPr>
      </w:pPr>
      <w:r w:rsidRPr="00640F3E">
        <w:rPr>
          <w:rFonts w:eastAsia="Times New Roman" w:cstheme="minorHAnsi"/>
          <w:b/>
          <w:i/>
          <w:snapToGrid w:val="0"/>
          <w:color w:val="DC6900"/>
          <w:sz w:val="48"/>
          <w:szCs w:val="88"/>
          <w:lang w:val="en-GB"/>
        </w:rPr>
        <w:t>Accessibility obligations and conventions framework for the Data Standards Chair</w:t>
      </w:r>
    </w:p>
    <w:p w14:paraId="170A8781" w14:textId="77777777" w:rsidR="00640F3E" w:rsidRPr="00640F3E" w:rsidRDefault="00640F3E" w:rsidP="00640F3E">
      <w:pPr>
        <w:keepNext/>
        <w:keepLines/>
        <w:pageBreakBefore/>
        <w:kinsoku w:val="0"/>
        <w:overflowPunct w:val="0"/>
        <w:autoSpaceDE w:val="0"/>
        <w:autoSpaceDN w:val="0"/>
        <w:adjustRightInd w:val="0"/>
        <w:snapToGrid w:val="0"/>
        <w:spacing w:after="600" w:line="600" w:lineRule="atLeast"/>
        <w:outlineLvl w:val="1"/>
        <w:rPr>
          <w:rFonts w:eastAsia="Times New Roman" w:cstheme="minorHAnsi"/>
          <w:b/>
          <w:bCs/>
          <w:i/>
          <w:iCs/>
          <w:snapToGrid w:val="0"/>
          <w:color w:val="DC6900"/>
          <w:sz w:val="44"/>
          <w:szCs w:val="36"/>
        </w:rPr>
      </w:pPr>
      <w:r w:rsidRPr="00640F3E">
        <w:rPr>
          <w:rFonts w:eastAsia="Times New Roman" w:cstheme="minorHAnsi"/>
          <w:b/>
          <w:bCs/>
          <w:i/>
          <w:iCs/>
          <w:snapToGrid w:val="0"/>
          <w:color w:val="DC6900"/>
          <w:sz w:val="44"/>
          <w:szCs w:val="36"/>
        </w:rPr>
        <w:lastRenderedPageBreak/>
        <w:t>Disclaimer</w:t>
      </w:r>
    </w:p>
    <w:p w14:paraId="09FD2746"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This report is not intended to be relied upon by anyone other than The Department of the Treasury, of whom the Data Standards Chair is an official.  We prepared this report solely for The Department of the Treasury’s use and benefit in accordance with and for the purpose set out in our Proposal and Contract with Treasury dated 26 April 2022. In doing so, we acted exclusively for The Department of the Treasury and considered no-one else’s interests.</w:t>
      </w:r>
    </w:p>
    <w:p w14:paraId="4FD85FE0"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We accept no responsibility, duty or liability:</w:t>
      </w:r>
    </w:p>
    <w:p w14:paraId="3AE2FE19" w14:textId="77777777" w:rsidR="00640F3E" w:rsidRPr="00640F3E" w:rsidRDefault="00640F3E" w:rsidP="00640F3E">
      <w:pPr>
        <w:numPr>
          <w:ilvl w:val="0"/>
          <w:numId w:val="1"/>
        </w:num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to anyone other than The Department of the Treasury in connection with this report</w:t>
      </w:r>
    </w:p>
    <w:p w14:paraId="313AEA3D" w14:textId="77777777" w:rsidR="00640F3E" w:rsidRPr="00640F3E" w:rsidRDefault="00640F3E" w:rsidP="00640F3E">
      <w:pPr>
        <w:numPr>
          <w:ilvl w:val="0"/>
          <w:numId w:val="1"/>
        </w:num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to Treasury for the consequences of using or relying on it for a purpose other than that referred to above.</w:t>
      </w:r>
    </w:p>
    <w:p w14:paraId="3C38E1E1"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We make no representation concerning the appropriateness of this report for anyone other than The Department of the Treasury. If anyone other than The Department of the Treasury chooses to use or rely on it, they do so at their own risk.</w:t>
      </w:r>
    </w:p>
    <w:p w14:paraId="6D3E45A9"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This disclaimer applies:</w:t>
      </w:r>
    </w:p>
    <w:p w14:paraId="090344D5" w14:textId="77777777" w:rsidR="00640F3E" w:rsidRPr="00640F3E" w:rsidRDefault="00640F3E" w:rsidP="00640F3E">
      <w:pPr>
        <w:numPr>
          <w:ilvl w:val="0"/>
          <w:numId w:val="2"/>
        </w:num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to the maximum extent permitted by law and, without limitation, to liability arising in negligence or under statute; and</w:t>
      </w:r>
    </w:p>
    <w:p w14:paraId="5D744A29" w14:textId="77777777" w:rsidR="00640F3E" w:rsidRPr="00640F3E" w:rsidRDefault="00640F3E" w:rsidP="00640F3E">
      <w:pPr>
        <w:numPr>
          <w:ilvl w:val="0"/>
          <w:numId w:val="2"/>
        </w:num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even if we consent to anyone other than The Department of the Treasury receiving or using this report.</w:t>
      </w:r>
    </w:p>
    <w:p w14:paraId="514DFC3B"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640F3E">
        <w:rPr>
          <w:rFonts w:eastAsia="Times New Roman" w:cstheme="minorHAnsi"/>
          <w:snapToGrid w:val="0"/>
          <w:sz w:val="20"/>
          <w:szCs w:val="20"/>
        </w:rPr>
        <w:t>Liability limited by a scheme approved under Professional Standards legislation</w:t>
      </w:r>
    </w:p>
    <w:p w14:paraId="47793A4B" w14:textId="0FACC561" w:rsidR="00640F3E" w:rsidRPr="00640F3E" w:rsidRDefault="00640F3E" w:rsidP="00640F3E">
      <w:pPr>
        <w:keepNext/>
        <w:keepLines/>
        <w:pageBreakBefore/>
        <w:kinsoku w:val="0"/>
        <w:overflowPunct w:val="0"/>
        <w:autoSpaceDE w:val="0"/>
        <w:autoSpaceDN w:val="0"/>
        <w:adjustRightInd w:val="0"/>
        <w:snapToGrid w:val="0"/>
        <w:spacing w:after="480" w:line="240" w:lineRule="auto"/>
        <w:outlineLvl w:val="1"/>
        <w:rPr>
          <w:rFonts w:eastAsia="Times New Roman" w:cstheme="minorHAnsi"/>
          <w:b/>
          <w:bCs/>
          <w:i/>
          <w:iCs/>
          <w:snapToGrid w:val="0"/>
          <w:color w:val="DC6900"/>
          <w:sz w:val="44"/>
          <w:szCs w:val="36"/>
          <w:lang w:val="en-GB"/>
        </w:rPr>
      </w:pPr>
      <w:bookmarkStart w:id="0" w:name="_Toc107563061"/>
      <w:r w:rsidRPr="00640F3E">
        <w:rPr>
          <w:rFonts w:eastAsia="Times New Roman" w:cstheme="minorHAnsi"/>
          <w:b/>
          <w:bCs/>
          <w:i/>
          <w:iCs/>
          <w:snapToGrid w:val="0"/>
          <w:color w:val="DC6900"/>
          <w:sz w:val="44"/>
          <w:szCs w:val="36"/>
          <w:lang w:val="en-GB"/>
        </w:rPr>
        <w:lastRenderedPageBreak/>
        <w:t>Purpose statement</w:t>
      </w:r>
      <w:bookmarkEnd w:id="0"/>
    </w:p>
    <w:p w14:paraId="10BE22B8"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b/>
          <w:bCs/>
          <w:snapToGrid w:val="0"/>
          <w:sz w:val="20"/>
          <w:szCs w:val="20"/>
          <w:lang w:val="en-GB"/>
        </w:rPr>
      </w:pPr>
      <w:r w:rsidRPr="00640F3E">
        <w:rPr>
          <w:rFonts w:eastAsia="Times New Roman" w:cstheme="minorHAnsi"/>
          <w:b/>
          <w:bCs/>
          <w:snapToGrid w:val="0"/>
          <w:sz w:val="20"/>
          <w:szCs w:val="20"/>
          <w:lang w:val="en-GB"/>
        </w:rPr>
        <w:t>About this report</w:t>
      </w:r>
    </w:p>
    <w:p w14:paraId="6946ADA8"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Data Standards Chair (</w:t>
      </w:r>
      <w:r w:rsidRPr="00640F3E">
        <w:rPr>
          <w:rFonts w:eastAsia="Times New Roman" w:cstheme="minorHAnsi"/>
          <w:b/>
          <w:bCs/>
          <w:snapToGrid w:val="0"/>
          <w:sz w:val="20"/>
          <w:szCs w:val="20"/>
          <w:lang w:val="en-GB"/>
        </w:rPr>
        <w:t>Chair</w:t>
      </w:r>
      <w:r w:rsidRPr="00640F3E">
        <w:rPr>
          <w:rFonts w:eastAsia="Times New Roman" w:cstheme="minorHAnsi"/>
          <w:snapToGrid w:val="0"/>
          <w:sz w:val="20"/>
          <w:szCs w:val="20"/>
          <w:lang w:val="en-GB"/>
        </w:rPr>
        <w:t>), as an official of the Department of the Treasury (</w:t>
      </w:r>
      <w:r w:rsidRPr="00640F3E">
        <w:rPr>
          <w:rFonts w:eastAsia="Times New Roman" w:cstheme="minorHAnsi"/>
          <w:b/>
          <w:bCs/>
          <w:snapToGrid w:val="0"/>
          <w:sz w:val="20"/>
          <w:szCs w:val="20"/>
          <w:lang w:val="en-GB"/>
        </w:rPr>
        <w:t>Treasury</w:t>
      </w:r>
      <w:r w:rsidRPr="00640F3E">
        <w:rPr>
          <w:rFonts w:eastAsia="Times New Roman" w:cstheme="minorHAnsi"/>
          <w:snapToGrid w:val="0"/>
          <w:sz w:val="20"/>
          <w:szCs w:val="20"/>
          <w:lang w:val="en-GB"/>
        </w:rPr>
        <w:t>), commissioned PwC’s Indigenous Consulting (</w:t>
      </w:r>
      <w:r w:rsidRPr="00640F3E">
        <w:rPr>
          <w:rFonts w:eastAsia="Times New Roman" w:cstheme="minorHAnsi"/>
          <w:b/>
          <w:bCs/>
          <w:snapToGrid w:val="0"/>
          <w:sz w:val="20"/>
          <w:szCs w:val="20"/>
          <w:lang w:val="en-GB"/>
        </w:rPr>
        <w:t>PIC</w:t>
      </w:r>
      <w:r w:rsidRPr="00640F3E">
        <w:rPr>
          <w:rFonts w:eastAsia="Times New Roman" w:cstheme="minorHAnsi"/>
          <w:snapToGrid w:val="0"/>
          <w:sz w:val="20"/>
          <w:szCs w:val="20"/>
          <w:lang w:val="en-GB"/>
        </w:rPr>
        <w:t>), together with the Centre for Inclusive Design (</w:t>
      </w:r>
      <w:r w:rsidRPr="00640F3E">
        <w:rPr>
          <w:rFonts w:eastAsia="Times New Roman" w:cstheme="minorHAnsi"/>
          <w:b/>
          <w:bCs/>
          <w:snapToGrid w:val="0"/>
          <w:sz w:val="20"/>
          <w:szCs w:val="20"/>
          <w:lang w:val="en-GB"/>
        </w:rPr>
        <w:t>CFID</w:t>
      </w:r>
      <w:r w:rsidRPr="00640F3E">
        <w:rPr>
          <w:rFonts w:eastAsia="Times New Roman" w:cstheme="minorHAnsi"/>
          <w:snapToGrid w:val="0"/>
          <w:sz w:val="20"/>
          <w:szCs w:val="20"/>
          <w:lang w:val="en-GB"/>
        </w:rPr>
        <w:t xml:space="preserve">),  to provide a report of their obligations for accessibility, including the future direction of these obligations, as they may relate to Data Standards. </w:t>
      </w:r>
    </w:p>
    <w:p w14:paraId="5780E471"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b/>
          <w:bCs/>
          <w:snapToGrid w:val="0"/>
          <w:sz w:val="20"/>
          <w:szCs w:val="20"/>
          <w:lang w:val="en-GB"/>
        </w:rPr>
      </w:pPr>
      <w:r w:rsidRPr="00640F3E">
        <w:rPr>
          <w:rFonts w:eastAsia="Times New Roman" w:cstheme="minorHAnsi"/>
          <w:b/>
          <w:bCs/>
          <w:snapToGrid w:val="0"/>
          <w:sz w:val="20"/>
          <w:szCs w:val="20"/>
          <w:lang w:val="en-GB"/>
        </w:rPr>
        <w:t>Objectives</w:t>
      </w:r>
    </w:p>
    <w:p w14:paraId="06C897CC"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objectives of developing this report are to:</w:t>
      </w:r>
    </w:p>
    <w:p w14:paraId="5874314B" w14:textId="77777777" w:rsidR="00640F3E" w:rsidRPr="00640F3E" w:rsidRDefault="00640F3E" w:rsidP="00640F3E">
      <w:pPr>
        <w:numPr>
          <w:ilvl w:val="0"/>
          <w:numId w:val="4"/>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 xml:space="preserve">provide the Chair clear insights into their obligations and related conventions for Accessibility, Usability, and </w:t>
      </w:r>
      <w:proofErr w:type="gramStart"/>
      <w:r w:rsidRPr="00640F3E">
        <w:rPr>
          <w:rFonts w:eastAsia="Times New Roman" w:cstheme="minorHAnsi"/>
          <w:snapToGrid w:val="0"/>
          <w:sz w:val="20"/>
          <w:szCs w:val="20"/>
          <w:lang w:val="en-GB"/>
        </w:rPr>
        <w:t>Inclusivity;</w:t>
      </w:r>
      <w:proofErr w:type="gramEnd"/>
    </w:p>
    <w:p w14:paraId="7C93EF52" w14:textId="77777777" w:rsidR="00640F3E" w:rsidRPr="00640F3E" w:rsidRDefault="00640F3E" w:rsidP="00640F3E">
      <w:pPr>
        <w:numPr>
          <w:ilvl w:val="0"/>
          <w:numId w:val="4"/>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 xml:space="preserve">outline at a high level the interlinkages between Accessibility, </w:t>
      </w:r>
      <w:proofErr w:type="gramStart"/>
      <w:r w:rsidRPr="00640F3E">
        <w:rPr>
          <w:rFonts w:eastAsia="Times New Roman" w:cstheme="minorHAnsi"/>
          <w:snapToGrid w:val="0"/>
          <w:sz w:val="20"/>
          <w:szCs w:val="20"/>
          <w:lang w:val="en-GB"/>
        </w:rPr>
        <w:t>Usability</w:t>
      </w:r>
      <w:proofErr w:type="gramEnd"/>
      <w:r w:rsidRPr="00640F3E">
        <w:rPr>
          <w:rFonts w:eastAsia="Times New Roman" w:cstheme="minorHAnsi"/>
          <w:snapToGrid w:val="0"/>
          <w:sz w:val="20"/>
          <w:szCs w:val="20"/>
          <w:lang w:val="en-GB"/>
        </w:rPr>
        <w:t xml:space="preserve"> and Inclusion; and</w:t>
      </w:r>
    </w:p>
    <w:p w14:paraId="52511E44" w14:textId="77777777" w:rsidR="00640F3E" w:rsidRPr="00640F3E" w:rsidRDefault="00640F3E" w:rsidP="00640F3E">
      <w:pPr>
        <w:numPr>
          <w:ilvl w:val="0"/>
          <w:numId w:val="4"/>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identify potential future directions in Accessibility, to guide decision making in forthcoming research work related to improving Accessibility.</w:t>
      </w:r>
    </w:p>
    <w:p w14:paraId="0D02EBC0"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b/>
          <w:bCs/>
          <w:snapToGrid w:val="0"/>
          <w:sz w:val="20"/>
          <w:szCs w:val="20"/>
          <w:lang w:val="en-GB"/>
        </w:rPr>
      </w:pPr>
      <w:r w:rsidRPr="00640F3E">
        <w:rPr>
          <w:rFonts w:eastAsia="Times New Roman" w:cstheme="minorHAnsi"/>
          <w:b/>
          <w:bCs/>
          <w:snapToGrid w:val="0"/>
          <w:sz w:val="20"/>
          <w:szCs w:val="20"/>
          <w:lang w:val="en-GB"/>
        </w:rPr>
        <w:t>Scope of the report</w:t>
      </w:r>
    </w:p>
    <w:p w14:paraId="441ADE72"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report documents:</w:t>
      </w:r>
    </w:p>
    <w:p w14:paraId="55D49002" w14:textId="77777777" w:rsidR="00640F3E" w:rsidRPr="00640F3E" w:rsidRDefault="00640F3E" w:rsidP="00640F3E">
      <w:pPr>
        <w:numPr>
          <w:ilvl w:val="0"/>
          <w:numId w:val="3"/>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 xml:space="preserve">details of the obligations of the Chair related to Accessibility, Usability, and </w:t>
      </w:r>
      <w:proofErr w:type="gramStart"/>
      <w:r w:rsidRPr="00640F3E">
        <w:rPr>
          <w:rFonts w:eastAsia="Times New Roman" w:cstheme="minorHAnsi"/>
          <w:snapToGrid w:val="0"/>
          <w:sz w:val="20"/>
          <w:szCs w:val="20"/>
          <w:lang w:val="en-GB"/>
        </w:rPr>
        <w:t>Inclusivity;</w:t>
      </w:r>
      <w:proofErr w:type="gramEnd"/>
    </w:p>
    <w:p w14:paraId="56A57956" w14:textId="77777777" w:rsidR="00640F3E" w:rsidRPr="00640F3E" w:rsidRDefault="00640F3E" w:rsidP="00640F3E">
      <w:pPr>
        <w:numPr>
          <w:ilvl w:val="0"/>
          <w:numId w:val="3"/>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 xml:space="preserve">a summary of current design standards, policies and </w:t>
      </w:r>
      <w:proofErr w:type="gramStart"/>
      <w:r w:rsidRPr="00640F3E">
        <w:rPr>
          <w:rFonts w:eastAsia="Times New Roman" w:cstheme="minorHAnsi"/>
          <w:snapToGrid w:val="0"/>
          <w:sz w:val="20"/>
          <w:szCs w:val="20"/>
          <w:lang w:val="en-GB"/>
        </w:rPr>
        <w:t>frameworks;</w:t>
      </w:r>
      <w:proofErr w:type="gramEnd"/>
    </w:p>
    <w:p w14:paraId="252CC591" w14:textId="77777777" w:rsidR="00640F3E" w:rsidRPr="00640F3E" w:rsidRDefault="00640F3E" w:rsidP="00640F3E">
      <w:pPr>
        <w:numPr>
          <w:ilvl w:val="0"/>
          <w:numId w:val="3"/>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 xml:space="preserve">potential future directions of accessibility </w:t>
      </w:r>
      <w:proofErr w:type="gramStart"/>
      <w:r w:rsidRPr="00640F3E">
        <w:rPr>
          <w:rFonts w:eastAsia="Times New Roman" w:cstheme="minorHAnsi"/>
          <w:snapToGrid w:val="0"/>
          <w:sz w:val="20"/>
          <w:szCs w:val="20"/>
          <w:lang w:val="en-GB"/>
        </w:rPr>
        <w:t>standards;</w:t>
      </w:r>
      <w:proofErr w:type="gramEnd"/>
    </w:p>
    <w:p w14:paraId="41A3FFAD" w14:textId="77777777" w:rsidR="00640F3E" w:rsidRPr="00640F3E" w:rsidRDefault="00640F3E" w:rsidP="00640F3E">
      <w:pPr>
        <w:numPr>
          <w:ilvl w:val="0"/>
          <w:numId w:val="3"/>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benefits and risks related to compliance; and</w:t>
      </w:r>
    </w:p>
    <w:p w14:paraId="4B946BEF" w14:textId="77777777" w:rsidR="00640F3E" w:rsidRPr="00640F3E" w:rsidRDefault="00640F3E" w:rsidP="00640F3E">
      <w:pPr>
        <w:numPr>
          <w:ilvl w:val="0"/>
          <w:numId w:val="3"/>
        </w:num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recommendations to improve Accessibility, Usability, and Inclusivity within the Consumer Data Right (</w:t>
      </w:r>
      <w:r w:rsidRPr="00640F3E">
        <w:rPr>
          <w:rFonts w:eastAsia="Times New Roman" w:cstheme="minorHAnsi"/>
          <w:b/>
          <w:bCs/>
          <w:snapToGrid w:val="0"/>
          <w:sz w:val="20"/>
          <w:szCs w:val="20"/>
          <w:lang w:val="en-GB"/>
        </w:rPr>
        <w:t>CDR</w:t>
      </w:r>
      <w:r w:rsidRPr="00640F3E">
        <w:rPr>
          <w:rFonts w:eastAsia="Times New Roman" w:cstheme="minorHAnsi"/>
          <w:snapToGrid w:val="0"/>
          <w:sz w:val="16"/>
          <w:szCs w:val="16"/>
        </w:rPr>
        <w:t>)</w:t>
      </w:r>
      <w:r w:rsidRPr="00640F3E">
        <w:rPr>
          <w:rFonts w:eastAsia="Times New Roman" w:cstheme="minorHAnsi"/>
          <w:snapToGrid w:val="0"/>
          <w:sz w:val="20"/>
          <w:szCs w:val="20"/>
          <w:lang w:val="en-GB"/>
        </w:rPr>
        <w:t>.</w:t>
      </w:r>
    </w:p>
    <w:p w14:paraId="17FD92BB"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scope of this report does not include a comprehensive legal review.</w:t>
      </w:r>
    </w:p>
    <w:p w14:paraId="75F2E0C7"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A draft version of this report was issued to Treasury in May 2022, with significant feedback being received from members of the Data Standards Body.</w:t>
      </w:r>
    </w:p>
    <w:p w14:paraId="01A63220"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updated final version shared with Treasury on 10 June 2022.</w:t>
      </w:r>
    </w:p>
    <w:p w14:paraId="5FDDA49A"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b/>
          <w:bCs/>
          <w:snapToGrid w:val="0"/>
          <w:sz w:val="20"/>
          <w:szCs w:val="20"/>
          <w:lang w:val="en-GB"/>
        </w:rPr>
      </w:pPr>
      <w:r w:rsidRPr="00640F3E">
        <w:rPr>
          <w:rFonts w:eastAsia="Times New Roman" w:cstheme="minorHAnsi"/>
          <w:b/>
          <w:bCs/>
          <w:snapToGrid w:val="0"/>
          <w:sz w:val="20"/>
          <w:szCs w:val="20"/>
          <w:lang w:val="en-GB"/>
        </w:rPr>
        <w:t>Intended audience</w:t>
      </w:r>
    </w:p>
    <w:p w14:paraId="5500A3E0" w14:textId="77777777" w:rsidR="00640F3E" w:rsidRPr="00640F3E" w:rsidRDefault="00640F3E" w:rsidP="00640F3E">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640F3E">
        <w:rPr>
          <w:rFonts w:eastAsia="Times New Roman" w:cstheme="minorHAnsi"/>
          <w:snapToGrid w:val="0"/>
          <w:sz w:val="20"/>
          <w:szCs w:val="20"/>
          <w:lang w:val="en-GB"/>
        </w:rPr>
        <w:t>The Data Standards Chair is the primary owner and audience of this report, and they can use the report to guide decision about future actions that will allow Data Standards development to continue to comply with responsibilities in relation to Accessibility, Usability, and Inclusivity. The Chair may also share the report within CDR and publish it to external stakeholders to guide consultation and decision making, at their discretion.</w:t>
      </w:r>
    </w:p>
    <w:p w14:paraId="149BBE51" w14:textId="3B280823" w:rsidR="00640F3E" w:rsidRPr="00640F3E" w:rsidRDefault="00640F3E" w:rsidP="00640F3E">
      <w:pPr>
        <w:keepNext/>
        <w:keepLines/>
        <w:pageBreakBefore/>
        <w:kinsoku w:val="0"/>
        <w:overflowPunct w:val="0"/>
        <w:autoSpaceDE w:val="0"/>
        <w:autoSpaceDN w:val="0"/>
        <w:adjustRightInd w:val="0"/>
        <w:snapToGrid w:val="0"/>
        <w:spacing w:after="480" w:line="600" w:lineRule="atLeast"/>
        <w:ind w:left="850" w:hanging="850"/>
        <w:outlineLvl w:val="1"/>
        <w:rPr>
          <w:rFonts w:eastAsia="Times New Roman" w:cstheme="minorHAnsi"/>
          <w:b/>
          <w:bCs/>
          <w:i/>
          <w:iCs/>
          <w:snapToGrid w:val="0"/>
          <w:color w:val="DC6900"/>
          <w:sz w:val="44"/>
          <w:szCs w:val="36"/>
          <w:lang w:val="en-GB"/>
        </w:rPr>
      </w:pPr>
      <w:bookmarkStart w:id="1" w:name="_Toc107563062"/>
      <w:r w:rsidRPr="00640F3E">
        <w:rPr>
          <w:rFonts w:eastAsia="Times New Roman" w:cstheme="minorHAnsi"/>
          <w:b/>
          <w:bCs/>
          <w:i/>
          <w:iCs/>
          <w:snapToGrid w:val="0"/>
          <w:color w:val="DC6900"/>
          <w:sz w:val="44"/>
          <w:szCs w:val="36"/>
          <w:lang w:val="en-GB"/>
        </w:rPr>
        <w:lastRenderedPageBreak/>
        <w:t>Executive Summary</w:t>
      </w:r>
      <w:bookmarkEnd w:id="1"/>
    </w:p>
    <w:p w14:paraId="35E0D928"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Informed consent is central to the operation of the Consumer Data Right (</w:t>
      </w:r>
      <w:r w:rsidRPr="00640F3E">
        <w:rPr>
          <w:rFonts w:eastAsia="Times New Roman" w:cstheme="minorHAnsi"/>
          <w:b/>
          <w:bCs/>
          <w:snapToGrid w:val="0"/>
          <w:sz w:val="20"/>
          <w:szCs w:val="20"/>
        </w:rPr>
        <w:t>CDR</w:t>
      </w:r>
      <w:r w:rsidRPr="00640F3E">
        <w:rPr>
          <w:rFonts w:eastAsia="Times New Roman" w:cstheme="minorHAnsi"/>
          <w:snapToGrid w:val="0"/>
          <w:sz w:val="20"/>
          <w:szCs w:val="20"/>
        </w:rPr>
        <w:t>). The legislative function of the Data Standards Chair (</w:t>
      </w:r>
      <w:r w:rsidRPr="00640F3E">
        <w:rPr>
          <w:rFonts w:eastAsia="Times New Roman" w:cstheme="minorHAnsi"/>
          <w:b/>
          <w:bCs/>
          <w:snapToGrid w:val="0"/>
          <w:sz w:val="20"/>
          <w:szCs w:val="20"/>
        </w:rPr>
        <w:t>Chair</w:t>
      </w:r>
      <w:r w:rsidRPr="00640F3E">
        <w:rPr>
          <w:rFonts w:eastAsia="Times New Roman" w:cstheme="minorHAnsi"/>
          <w:snapToGrid w:val="0"/>
          <w:sz w:val="20"/>
          <w:szCs w:val="20"/>
        </w:rPr>
        <w:t>), an Official of the Treasury, is to make and review Data Standards that define the format and process for how consumer data is accessed, with consent. If the process by which a consumer grants consent is inaccessible, then their Right is also inaccessible.</w:t>
      </w:r>
    </w:p>
    <w:p w14:paraId="0DF7A20F"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 xml:space="preserve">Legislation codifies the obligation for the Chair to provide equal access for use of the Data Standards, and to promote the interpretation of equal access of use for implementations based upon the Data Standards.  This obligation emanates from the </w:t>
      </w:r>
      <w:r w:rsidRPr="00640F3E">
        <w:rPr>
          <w:rFonts w:eastAsia="Times New Roman" w:cstheme="minorHAnsi"/>
          <w:i/>
          <w:iCs/>
          <w:snapToGrid w:val="0"/>
          <w:sz w:val="20"/>
          <w:szCs w:val="20"/>
        </w:rPr>
        <w:t>Disability Discrimination Act 1992</w:t>
      </w:r>
      <w:r w:rsidRPr="00640F3E">
        <w:rPr>
          <w:rFonts w:eastAsia="Times New Roman" w:cstheme="minorHAnsi"/>
          <w:snapToGrid w:val="0"/>
          <w:sz w:val="20"/>
          <w:szCs w:val="20"/>
        </w:rPr>
        <w:t xml:space="preserve"> (</w:t>
      </w:r>
      <w:r w:rsidRPr="00640F3E">
        <w:rPr>
          <w:rFonts w:eastAsia="Times New Roman" w:cstheme="minorHAnsi"/>
          <w:b/>
          <w:bCs/>
          <w:snapToGrid w:val="0"/>
          <w:sz w:val="20"/>
          <w:szCs w:val="20"/>
        </w:rPr>
        <w:t>DDA</w:t>
      </w:r>
      <w:r w:rsidRPr="00640F3E">
        <w:rPr>
          <w:rFonts w:eastAsia="Times New Roman" w:cstheme="minorHAnsi"/>
          <w:snapToGrid w:val="0"/>
          <w:sz w:val="20"/>
          <w:szCs w:val="20"/>
        </w:rPr>
        <w:t>) and is supported by edicts from the Australian Human Rights Commission (</w:t>
      </w:r>
      <w:r w:rsidRPr="00640F3E">
        <w:rPr>
          <w:rFonts w:eastAsia="Times New Roman" w:cstheme="minorHAnsi"/>
          <w:b/>
          <w:bCs/>
          <w:snapToGrid w:val="0"/>
          <w:sz w:val="20"/>
          <w:szCs w:val="20"/>
        </w:rPr>
        <w:t>AHRC</w:t>
      </w:r>
      <w:r w:rsidRPr="00640F3E">
        <w:rPr>
          <w:rFonts w:eastAsia="Times New Roman" w:cstheme="minorHAnsi"/>
          <w:snapToGrid w:val="0"/>
          <w:sz w:val="20"/>
          <w:szCs w:val="20"/>
        </w:rPr>
        <w:t xml:space="preserve">).  </w:t>
      </w:r>
    </w:p>
    <w:p w14:paraId="7010DAB6"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Accessibility standards are clearly outlined in W3C’s Web Content Accessibility Guidelines (</w:t>
      </w:r>
      <w:r w:rsidRPr="00640F3E">
        <w:rPr>
          <w:rFonts w:eastAsia="Times New Roman" w:cstheme="minorHAnsi"/>
          <w:b/>
          <w:bCs/>
          <w:snapToGrid w:val="0"/>
          <w:sz w:val="20"/>
          <w:szCs w:val="20"/>
        </w:rPr>
        <w:t>WCAG</w:t>
      </w:r>
      <w:r w:rsidRPr="00640F3E">
        <w:rPr>
          <w:rFonts w:eastAsia="Times New Roman" w:cstheme="minorHAnsi"/>
          <w:snapToGrid w:val="0"/>
          <w:sz w:val="20"/>
          <w:szCs w:val="20"/>
        </w:rPr>
        <w:t xml:space="preserve">). Australian legislation and policy require compliance. To meet Accessibility obligations, the Chair should adopt WCAG to support delivering the CDR. </w:t>
      </w:r>
    </w:p>
    <w:p w14:paraId="51A359F9"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 xml:space="preserve">In relation to the operation of the CX Guidelines, the GOLD Design System provides a framework, and a set of tools, to help designers and developers build Australian Government products and services more easily. This system has been used to develop the CDR CX Guidelines and incorporates the </w:t>
      </w:r>
      <w:r w:rsidRPr="00640F3E">
        <w:rPr>
          <w:rFonts w:eastAsia="Times New Roman" w:cstheme="minorHAnsi"/>
          <w:i/>
          <w:iCs/>
          <w:snapToGrid w:val="0"/>
          <w:sz w:val="20"/>
          <w:szCs w:val="20"/>
        </w:rPr>
        <w:t>Usability</w:t>
      </w:r>
      <w:r w:rsidRPr="00640F3E">
        <w:rPr>
          <w:rFonts w:eastAsia="Times New Roman" w:cstheme="minorHAnsi"/>
          <w:snapToGrid w:val="0"/>
          <w:sz w:val="20"/>
          <w:szCs w:val="20"/>
        </w:rPr>
        <w:t xml:space="preserve"> and </w:t>
      </w:r>
      <w:r w:rsidRPr="00640F3E">
        <w:rPr>
          <w:rFonts w:eastAsia="Times New Roman" w:cstheme="minorHAnsi"/>
          <w:i/>
          <w:iCs/>
          <w:snapToGrid w:val="0"/>
          <w:sz w:val="20"/>
          <w:szCs w:val="20"/>
        </w:rPr>
        <w:t>Accessibility</w:t>
      </w:r>
      <w:r w:rsidRPr="00640F3E">
        <w:rPr>
          <w:rFonts w:eastAsia="Times New Roman" w:cstheme="minorHAnsi"/>
          <w:snapToGrid w:val="0"/>
          <w:sz w:val="20"/>
          <w:szCs w:val="20"/>
        </w:rPr>
        <w:t xml:space="preserve"> standards in alignment with the Digital Transformation Agency (</w:t>
      </w:r>
      <w:r w:rsidRPr="00640F3E">
        <w:rPr>
          <w:rFonts w:eastAsia="Times New Roman" w:cstheme="minorHAnsi"/>
          <w:b/>
          <w:bCs/>
          <w:snapToGrid w:val="0"/>
          <w:sz w:val="20"/>
          <w:szCs w:val="20"/>
        </w:rPr>
        <w:t>DTA</w:t>
      </w:r>
      <w:r w:rsidRPr="00640F3E">
        <w:rPr>
          <w:rFonts w:eastAsia="Times New Roman" w:cstheme="minorHAnsi"/>
          <w:snapToGrid w:val="0"/>
          <w:sz w:val="20"/>
          <w:szCs w:val="20"/>
        </w:rPr>
        <w:t>)’s Digital Service Standard (</w:t>
      </w:r>
      <w:r w:rsidRPr="00640F3E">
        <w:rPr>
          <w:rFonts w:eastAsia="Times New Roman" w:cstheme="minorHAnsi"/>
          <w:b/>
          <w:bCs/>
          <w:snapToGrid w:val="0"/>
          <w:sz w:val="20"/>
          <w:szCs w:val="20"/>
        </w:rPr>
        <w:t>DSS</w:t>
      </w:r>
      <w:r w:rsidRPr="00640F3E">
        <w:rPr>
          <w:rFonts w:eastAsia="Times New Roman" w:cstheme="minorHAnsi"/>
          <w:snapToGrid w:val="0"/>
          <w:sz w:val="20"/>
          <w:szCs w:val="20"/>
        </w:rPr>
        <w:t>). This system, however, does not fully support the functionality sought for the CDR, as reflected in the CX Guidelines. This means that certain portions of the CX Guidelines are not supported by the framework, and/or set of tools, that would have otherwise assisted and guided designers and developers with implementing them.</w:t>
      </w:r>
    </w:p>
    <w:p w14:paraId="02BF87FE"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 xml:space="preserve">It is unlikely that the GOLD Design System will develop the components required to support the CX Guidelines and related CDR implementations. The Chair should consider addressing divergence from GOLD </w:t>
      </w:r>
      <w:proofErr w:type="gramStart"/>
      <w:r w:rsidRPr="00640F3E">
        <w:rPr>
          <w:rFonts w:eastAsia="Times New Roman" w:cstheme="minorHAnsi"/>
          <w:snapToGrid w:val="0"/>
          <w:sz w:val="20"/>
          <w:szCs w:val="20"/>
        </w:rPr>
        <w:t>in order to</w:t>
      </w:r>
      <w:proofErr w:type="gramEnd"/>
      <w:r w:rsidRPr="00640F3E">
        <w:rPr>
          <w:rFonts w:eastAsia="Times New Roman" w:cstheme="minorHAnsi"/>
          <w:snapToGrid w:val="0"/>
          <w:sz w:val="20"/>
          <w:szCs w:val="20"/>
        </w:rPr>
        <w:t xml:space="preserve"> support delivering a more accessible CDR consent model.</w:t>
      </w:r>
    </w:p>
    <w:p w14:paraId="08D0C948"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Accessibility is clearly a key part of ensuring that all Australians can access the CDR, but it does not cover all needs. Considering Accessibility together with Usability through an inclusive design lens gives a more holistic picture of what the Chair can do to ensure Australians can access their rights under CDR.</w:t>
      </w:r>
    </w:p>
    <w:p w14:paraId="4CC696DD" w14:textId="77777777" w:rsidR="00640F3E" w:rsidRPr="00640F3E" w:rsidRDefault="00640F3E" w:rsidP="00640F3E">
      <w:pPr>
        <w:kinsoku w:val="0"/>
        <w:overflowPunct w:val="0"/>
        <w:autoSpaceDE w:val="0"/>
        <w:autoSpaceDN w:val="0"/>
        <w:adjustRightInd w:val="0"/>
        <w:snapToGrid w:val="0"/>
        <w:spacing w:after="240" w:line="360" w:lineRule="auto"/>
        <w:rPr>
          <w:rFonts w:eastAsia="Times New Roman" w:cstheme="minorHAnsi"/>
          <w:snapToGrid w:val="0"/>
          <w:sz w:val="20"/>
          <w:szCs w:val="20"/>
        </w:rPr>
      </w:pPr>
      <w:r w:rsidRPr="00640F3E">
        <w:rPr>
          <w:rFonts w:eastAsia="Times New Roman" w:cstheme="minorHAnsi"/>
          <w:snapToGrid w:val="0"/>
          <w:sz w:val="20"/>
          <w:szCs w:val="20"/>
        </w:rPr>
        <w:t>In contrast to Accessibility obligations, which are clearly outlined in international and national legislation, policy, and standards, neither Usability nor Inclusion have accepted conventions which clearly articulate responsibilities to decision makers. As the Chair, and the Data Standards Body (</w:t>
      </w:r>
      <w:r w:rsidRPr="00640F3E">
        <w:rPr>
          <w:rFonts w:eastAsia="Times New Roman" w:cstheme="minorHAnsi"/>
          <w:b/>
          <w:bCs/>
          <w:snapToGrid w:val="0"/>
          <w:sz w:val="20"/>
          <w:szCs w:val="20"/>
        </w:rPr>
        <w:t>DSB</w:t>
      </w:r>
      <w:r w:rsidRPr="00640F3E">
        <w:rPr>
          <w:rFonts w:eastAsia="Times New Roman" w:cstheme="minorHAnsi"/>
          <w:snapToGrid w:val="0"/>
          <w:sz w:val="20"/>
          <w:szCs w:val="20"/>
        </w:rPr>
        <w:t xml:space="preserve">), consider embedding equal access of use across the CDR consent model, research should be considered </w:t>
      </w:r>
      <w:proofErr w:type="gramStart"/>
      <w:r w:rsidRPr="00640F3E">
        <w:rPr>
          <w:rFonts w:eastAsia="Times New Roman" w:cstheme="minorHAnsi"/>
          <w:snapToGrid w:val="0"/>
          <w:sz w:val="20"/>
          <w:szCs w:val="20"/>
        </w:rPr>
        <w:t>in order to</w:t>
      </w:r>
      <w:proofErr w:type="gramEnd"/>
      <w:r w:rsidRPr="00640F3E">
        <w:rPr>
          <w:rFonts w:eastAsia="Times New Roman" w:cstheme="minorHAnsi"/>
          <w:snapToGrid w:val="0"/>
          <w:sz w:val="20"/>
          <w:szCs w:val="20"/>
        </w:rPr>
        <w:t xml:space="preserve"> support the development of a framework for the CDR which considers Usability and Inclusion.</w:t>
      </w:r>
    </w:p>
    <w:p w14:paraId="3E42FE6F" w14:textId="77777777" w:rsidR="00776733" w:rsidRPr="00776733" w:rsidRDefault="00776733" w:rsidP="00776733">
      <w:pPr>
        <w:keepNext/>
        <w:keepLines/>
        <w:pageBreakBefore/>
        <w:kinsoku w:val="0"/>
        <w:overflowPunct w:val="0"/>
        <w:autoSpaceDE w:val="0"/>
        <w:autoSpaceDN w:val="0"/>
        <w:adjustRightInd w:val="0"/>
        <w:snapToGrid w:val="0"/>
        <w:spacing w:after="600" w:line="600" w:lineRule="atLeast"/>
        <w:outlineLvl w:val="1"/>
        <w:rPr>
          <w:rFonts w:eastAsia="Times New Roman" w:cstheme="minorHAnsi"/>
          <w:b/>
          <w:bCs/>
          <w:i/>
          <w:iCs/>
          <w:snapToGrid w:val="0"/>
          <w:color w:val="DC6900"/>
          <w:sz w:val="44"/>
          <w:szCs w:val="36"/>
          <w:lang w:val="en-GB"/>
        </w:rPr>
      </w:pPr>
      <w:r w:rsidRPr="00776733">
        <w:rPr>
          <w:rFonts w:eastAsia="Times New Roman" w:cstheme="minorHAnsi"/>
          <w:b/>
          <w:bCs/>
          <w:i/>
          <w:iCs/>
          <w:snapToGrid w:val="0"/>
          <w:color w:val="DC6900"/>
          <w:sz w:val="44"/>
          <w:szCs w:val="36"/>
          <w:lang w:val="en-GB"/>
        </w:rPr>
        <w:lastRenderedPageBreak/>
        <w:t>Conten</w:t>
      </w:r>
      <w:bookmarkStart w:id="2" w:name="TOC"/>
      <w:bookmarkEnd w:id="2"/>
      <w:r w:rsidRPr="00776733">
        <w:rPr>
          <w:rFonts w:eastAsia="Times New Roman" w:cstheme="minorHAnsi"/>
          <w:b/>
          <w:bCs/>
          <w:i/>
          <w:iCs/>
          <w:snapToGrid w:val="0"/>
          <w:color w:val="DC6900"/>
          <w:sz w:val="44"/>
          <w:szCs w:val="36"/>
          <w:lang w:val="en-GB"/>
        </w:rPr>
        <w:t>ts</w:t>
      </w:r>
      <w:bookmarkStart w:id="3" w:name="SmallDoc"/>
      <w:bookmarkEnd w:id="3"/>
    </w:p>
    <w:p w14:paraId="7093BF4E" w14:textId="34AC1D50" w:rsidR="00946AF3" w:rsidRPr="00946AF3" w:rsidRDefault="00946AF3" w:rsidP="00946AF3">
      <w:pPr>
        <w:rPr>
          <w:rFonts w:eastAsia="Times New Roman" w:cstheme="minorHAnsi"/>
          <w:snapToGrid w:val="0"/>
          <w:sz w:val="20"/>
          <w:szCs w:val="20"/>
        </w:rPr>
      </w:pPr>
      <w:bookmarkStart w:id="4" w:name="_GoBack"/>
      <w:bookmarkEnd w:id="4"/>
      <w:r w:rsidRPr="00946AF3">
        <w:rPr>
          <w:rFonts w:eastAsia="Times New Roman" w:cstheme="minorHAnsi"/>
          <w:snapToGrid w:val="0"/>
          <w:sz w:val="20"/>
          <w:szCs w:val="20"/>
        </w:rPr>
        <w:t>Purpose statement</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3</w:t>
      </w:r>
    </w:p>
    <w:p w14:paraId="6F1F1230" w14:textId="3325EB59"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Executive Summary</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4</w:t>
      </w:r>
    </w:p>
    <w:p w14:paraId="1609A936" w14:textId="52D31E77"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Recommendations</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6</w:t>
      </w:r>
    </w:p>
    <w:p w14:paraId="0BAD3424" w14:textId="4CEC049F"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Understanding Accessibility, Usability, and Inclusivity obligations</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7</w:t>
      </w:r>
    </w:p>
    <w:p w14:paraId="0EB61369" w14:textId="59E04161"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Current Design Standards, Policies and Frameworks</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11</w:t>
      </w:r>
    </w:p>
    <w:p w14:paraId="7A135DCF" w14:textId="266B5DEE"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Future directions and requirements in accessibility</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t>1</w:t>
      </w:r>
      <w:r w:rsidRPr="00D33142">
        <w:rPr>
          <w:rFonts w:eastAsia="Times New Roman" w:cstheme="minorHAnsi"/>
          <w:snapToGrid w:val="0"/>
          <w:sz w:val="20"/>
          <w:szCs w:val="20"/>
        </w:rPr>
        <w:t>4</w:t>
      </w:r>
    </w:p>
    <w:p w14:paraId="5402D704" w14:textId="7BA7E9CB"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Benefits and risks related to compliance</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t>1</w:t>
      </w:r>
      <w:r w:rsidRPr="00D33142">
        <w:rPr>
          <w:rFonts w:eastAsia="Times New Roman" w:cstheme="minorHAnsi"/>
          <w:snapToGrid w:val="0"/>
          <w:sz w:val="20"/>
          <w:szCs w:val="20"/>
        </w:rPr>
        <w:t>6</w:t>
      </w:r>
    </w:p>
    <w:p w14:paraId="0BFFA85F" w14:textId="518302B6"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Appendix A</w:t>
      </w:r>
      <w:r w:rsidRPr="00946AF3">
        <w:rPr>
          <w:rFonts w:eastAsia="Times New Roman" w:cstheme="minorHAnsi"/>
          <w:snapToGrid w:val="0"/>
          <w:sz w:val="20"/>
          <w:szCs w:val="20"/>
        </w:rPr>
        <w:tab/>
        <w:t>United Nations Convention on the Rights of Persons with Disabilities (CRPD)</w:t>
      </w:r>
      <w:r w:rsidRPr="00946AF3">
        <w:rPr>
          <w:rFonts w:eastAsia="Times New Roman" w:cstheme="minorHAnsi"/>
          <w:snapToGrid w:val="0"/>
          <w:sz w:val="20"/>
          <w:szCs w:val="20"/>
        </w:rPr>
        <w:tab/>
        <w:t>1</w:t>
      </w:r>
      <w:r w:rsidRPr="00D33142">
        <w:rPr>
          <w:rFonts w:eastAsia="Times New Roman" w:cstheme="minorHAnsi"/>
          <w:snapToGrid w:val="0"/>
          <w:sz w:val="20"/>
          <w:szCs w:val="20"/>
        </w:rPr>
        <w:t>8</w:t>
      </w:r>
    </w:p>
    <w:p w14:paraId="69EAF7E9" w14:textId="263940B5" w:rsidR="00946AF3" w:rsidRPr="00946AF3" w:rsidRDefault="00946AF3" w:rsidP="00946AF3">
      <w:pPr>
        <w:rPr>
          <w:rFonts w:eastAsia="Times New Roman" w:cstheme="minorHAnsi"/>
          <w:snapToGrid w:val="0"/>
          <w:sz w:val="20"/>
          <w:szCs w:val="20"/>
        </w:rPr>
      </w:pPr>
      <w:r w:rsidRPr="00946AF3">
        <w:rPr>
          <w:rFonts w:eastAsia="Times New Roman" w:cstheme="minorHAnsi"/>
          <w:snapToGrid w:val="0"/>
          <w:sz w:val="20"/>
          <w:szCs w:val="20"/>
        </w:rPr>
        <w:t>Appendix B</w:t>
      </w:r>
      <w:r w:rsidRPr="00946AF3">
        <w:rPr>
          <w:rFonts w:eastAsia="Times New Roman" w:cstheme="minorHAnsi"/>
          <w:snapToGrid w:val="0"/>
          <w:sz w:val="20"/>
          <w:szCs w:val="20"/>
        </w:rPr>
        <w:tab/>
        <w:t>Principles of Universal Design</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t>1</w:t>
      </w:r>
      <w:r w:rsidRPr="00D33142">
        <w:rPr>
          <w:rFonts w:eastAsia="Times New Roman" w:cstheme="minorHAnsi"/>
          <w:snapToGrid w:val="0"/>
          <w:sz w:val="20"/>
          <w:szCs w:val="20"/>
        </w:rPr>
        <w:t>9</w:t>
      </w:r>
    </w:p>
    <w:p w14:paraId="2DF31DE8" w14:textId="7257CF15" w:rsidR="00776733" w:rsidRPr="00D33142" w:rsidRDefault="00776733" w:rsidP="00776733">
      <w:pPr>
        <w:rPr>
          <w:rFonts w:eastAsia="Times New Roman" w:cstheme="minorHAnsi"/>
          <w:snapToGrid w:val="0"/>
          <w:sz w:val="20"/>
          <w:szCs w:val="20"/>
          <w:lang w:val="en-GB"/>
        </w:rPr>
      </w:pPr>
    </w:p>
    <w:p w14:paraId="58F44D1D" w14:textId="77777777" w:rsidR="00776733" w:rsidRPr="00D33142" w:rsidRDefault="00776733">
      <w:pPr>
        <w:rPr>
          <w:rFonts w:eastAsia="Times New Roman" w:cstheme="minorHAnsi"/>
          <w:snapToGrid w:val="0"/>
          <w:sz w:val="20"/>
          <w:szCs w:val="20"/>
          <w:lang w:val="en-GB"/>
        </w:rPr>
      </w:pPr>
      <w:r w:rsidRPr="00D33142">
        <w:rPr>
          <w:rFonts w:eastAsia="Times New Roman" w:cstheme="minorHAnsi"/>
          <w:snapToGrid w:val="0"/>
          <w:sz w:val="20"/>
          <w:szCs w:val="20"/>
          <w:lang w:val="en-GB"/>
        </w:rPr>
        <w:br w:type="page"/>
      </w:r>
    </w:p>
    <w:p w14:paraId="7D81BCE1" w14:textId="77777777" w:rsidR="00776733" w:rsidRPr="00D33142" w:rsidRDefault="00776733" w:rsidP="00776733">
      <w:pPr>
        <w:rPr>
          <w:rFonts w:cstheme="minorHAnsi"/>
          <w:b/>
          <w:bCs/>
          <w:i/>
          <w:iCs/>
          <w:color w:val="DC6900"/>
          <w:sz w:val="44"/>
          <w:szCs w:val="44"/>
        </w:rPr>
      </w:pPr>
      <w:r w:rsidRPr="00D33142">
        <w:rPr>
          <w:rFonts w:cstheme="minorHAnsi"/>
          <w:b/>
          <w:bCs/>
          <w:i/>
          <w:iCs/>
          <w:color w:val="DC6900"/>
          <w:sz w:val="44"/>
          <w:szCs w:val="44"/>
        </w:rPr>
        <w:lastRenderedPageBreak/>
        <w:t>Recommendations</w:t>
      </w:r>
    </w:p>
    <w:p w14:paraId="49BE9CB4" w14:textId="77777777" w:rsidR="00D33142" w:rsidRPr="00D33142" w:rsidRDefault="00D33142" w:rsidP="00776733">
      <w:pPr>
        <w:rPr>
          <w:rFonts w:cstheme="minorHAnsi"/>
          <w:i/>
          <w:iCs/>
          <w:color w:val="DC6900"/>
          <w:sz w:val="20"/>
          <w:szCs w:val="20"/>
        </w:rPr>
      </w:pPr>
    </w:p>
    <w:p w14:paraId="75380F2D" w14:textId="407E5639" w:rsidR="00776733" w:rsidRPr="00D33142" w:rsidRDefault="00776733" w:rsidP="00776733">
      <w:pPr>
        <w:rPr>
          <w:rFonts w:cstheme="minorHAnsi"/>
          <w:i/>
          <w:iCs/>
          <w:color w:val="DC6900"/>
          <w:sz w:val="26"/>
          <w:szCs w:val="26"/>
        </w:rPr>
      </w:pPr>
      <w:r w:rsidRPr="00D33142">
        <w:rPr>
          <w:rFonts w:cstheme="minorHAnsi"/>
          <w:i/>
          <w:iCs/>
          <w:color w:val="DC6900"/>
          <w:sz w:val="26"/>
          <w:szCs w:val="26"/>
        </w:rPr>
        <w:t>Recommendation 1</w:t>
      </w:r>
    </w:p>
    <w:p w14:paraId="02AB32E7" w14:textId="77777777" w:rsidR="00776733" w:rsidRPr="00D33142" w:rsidRDefault="00776733" w:rsidP="00776733">
      <w:pPr>
        <w:rPr>
          <w:rFonts w:cstheme="minorHAnsi"/>
          <w:sz w:val="20"/>
          <w:szCs w:val="20"/>
        </w:rPr>
      </w:pPr>
      <w:r w:rsidRPr="00D33142">
        <w:rPr>
          <w:rFonts w:cstheme="minorHAnsi"/>
          <w:sz w:val="20"/>
          <w:szCs w:val="20"/>
        </w:rPr>
        <w:t>Whilst the CX Standards already mandate certain WCAG criterion, the Chair should consider more extensively incorporating WCAG into the Data Standards, the Data Standards artefacts themselves, and related products, to address their legislative obligations for Accessibility, including by:</w:t>
      </w:r>
    </w:p>
    <w:p w14:paraId="7CCC7DA3" w14:textId="77777777" w:rsidR="00776733" w:rsidRPr="00D33142" w:rsidRDefault="00776733" w:rsidP="00776733">
      <w:pPr>
        <w:rPr>
          <w:rFonts w:cstheme="minorHAnsi"/>
          <w:sz w:val="20"/>
          <w:szCs w:val="20"/>
        </w:rPr>
      </w:pPr>
      <w:r w:rsidRPr="00D33142">
        <w:rPr>
          <w:rFonts w:cstheme="minorHAnsi"/>
          <w:sz w:val="20"/>
          <w:szCs w:val="20"/>
        </w:rPr>
        <w:t>1.1</w:t>
      </w:r>
      <w:r w:rsidRPr="00D33142">
        <w:rPr>
          <w:rFonts w:cstheme="minorHAnsi"/>
          <w:sz w:val="20"/>
          <w:szCs w:val="20"/>
        </w:rPr>
        <w:tab/>
        <w:t>Maintaining compliance with the current version.</w:t>
      </w:r>
    </w:p>
    <w:p w14:paraId="4BFCDF7C" w14:textId="77777777" w:rsidR="00776733" w:rsidRPr="00D33142" w:rsidRDefault="00776733" w:rsidP="00776733">
      <w:pPr>
        <w:rPr>
          <w:rFonts w:cstheme="minorHAnsi"/>
          <w:sz w:val="20"/>
          <w:szCs w:val="20"/>
        </w:rPr>
      </w:pPr>
      <w:r w:rsidRPr="00D33142">
        <w:rPr>
          <w:rFonts w:cstheme="minorHAnsi"/>
          <w:sz w:val="20"/>
          <w:szCs w:val="20"/>
        </w:rPr>
        <w:t>1.2</w:t>
      </w:r>
      <w:r w:rsidRPr="00D33142">
        <w:rPr>
          <w:rFonts w:cstheme="minorHAnsi"/>
          <w:sz w:val="20"/>
          <w:szCs w:val="20"/>
        </w:rPr>
        <w:tab/>
        <w:t>Having regard for WCAG’s further guidance, especially:</w:t>
      </w:r>
    </w:p>
    <w:p w14:paraId="3F167FF9" w14:textId="77777777" w:rsidR="00776733" w:rsidRPr="00D33142" w:rsidRDefault="00776733" w:rsidP="00776733">
      <w:pPr>
        <w:rPr>
          <w:rFonts w:cstheme="minorHAnsi"/>
          <w:sz w:val="20"/>
          <w:szCs w:val="20"/>
        </w:rPr>
      </w:pPr>
      <w:r w:rsidRPr="00D33142">
        <w:rPr>
          <w:rFonts w:cstheme="minorHAnsi"/>
          <w:sz w:val="20"/>
          <w:szCs w:val="20"/>
        </w:rPr>
        <w:t xml:space="preserve">1.2.1 Mobile Accessibility;  </w:t>
      </w:r>
    </w:p>
    <w:p w14:paraId="5D384AD2" w14:textId="77777777" w:rsidR="00776733" w:rsidRPr="00D33142" w:rsidRDefault="00776733" w:rsidP="00776733">
      <w:pPr>
        <w:rPr>
          <w:rFonts w:cstheme="minorHAnsi"/>
          <w:sz w:val="20"/>
          <w:szCs w:val="20"/>
        </w:rPr>
      </w:pPr>
      <w:r w:rsidRPr="00D33142">
        <w:rPr>
          <w:rFonts w:cstheme="minorHAnsi"/>
          <w:sz w:val="20"/>
          <w:szCs w:val="20"/>
        </w:rPr>
        <w:t xml:space="preserve">1.2.2 Cognitive Accessibility;  </w:t>
      </w:r>
    </w:p>
    <w:p w14:paraId="539B528C" w14:textId="77777777" w:rsidR="00776733" w:rsidRPr="00D33142" w:rsidRDefault="00776733" w:rsidP="00776733">
      <w:pPr>
        <w:rPr>
          <w:rFonts w:cstheme="minorHAnsi"/>
          <w:sz w:val="20"/>
          <w:szCs w:val="20"/>
        </w:rPr>
      </w:pPr>
      <w:r w:rsidRPr="00D33142">
        <w:rPr>
          <w:rFonts w:cstheme="minorHAnsi"/>
          <w:sz w:val="20"/>
          <w:szCs w:val="20"/>
        </w:rPr>
        <w:t xml:space="preserve">1.2.3 Personalisation; and </w:t>
      </w:r>
    </w:p>
    <w:p w14:paraId="08BAB328" w14:textId="77777777" w:rsidR="00776733" w:rsidRPr="00D33142" w:rsidRDefault="00776733" w:rsidP="00776733">
      <w:pPr>
        <w:rPr>
          <w:rFonts w:cstheme="minorHAnsi"/>
          <w:sz w:val="20"/>
          <w:szCs w:val="20"/>
        </w:rPr>
      </w:pPr>
      <w:r w:rsidRPr="00D33142">
        <w:rPr>
          <w:rFonts w:cstheme="minorHAnsi"/>
          <w:sz w:val="20"/>
          <w:szCs w:val="20"/>
        </w:rPr>
        <w:t xml:space="preserve">1.2.4 Pronunciation.  </w:t>
      </w:r>
    </w:p>
    <w:p w14:paraId="7D77C764" w14:textId="77777777" w:rsidR="00776733" w:rsidRPr="00D33142" w:rsidRDefault="00776733" w:rsidP="00776733">
      <w:pPr>
        <w:rPr>
          <w:rFonts w:cstheme="minorHAnsi"/>
          <w:sz w:val="20"/>
          <w:szCs w:val="20"/>
        </w:rPr>
      </w:pPr>
      <w:r w:rsidRPr="00D33142">
        <w:rPr>
          <w:rFonts w:cstheme="minorHAnsi"/>
          <w:sz w:val="20"/>
          <w:szCs w:val="20"/>
        </w:rPr>
        <w:t>1.3</w:t>
      </w:r>
      <w:r w:rsidRPr="00D33142">
        <w:rPr>
          <w:rFonts w:cstheme="minorHAnsi"/>
          <w:sz w:val="20"/>
          <w:szCs w:val="20"/>
        </w:rPr>
        <w:tab/>
        <w:t>Determining the Level of compliance (A/AA/AAA) required for each Success Criteria, which may involve consulting with:</w:t>
      </w:r>
    </w:p>
    <w:p w14:paraId="77293A91" w14:textId="77777777" w:rsidR="00776733" w:rsidRPr="00D33142" w:rsidRDefault="00776733" w:rsidP="00776733">
      <w:pPr>
        <w:rPr>
          <w:rFonts w:cstheme="minorHAnsi"/>
          <w:sz w:val="20"/>
          <w:szCs w:val="20"/>
        </w:rPr>
      </w:pPr>
      <w:r w:rsidRPr="00D33142">
        <w:rPr>
          <w:rFonts w:cstheme="minorHAnsi"/>
          <w:sz w:val="20"/>
          <w:szCs w:val="20"/>
        </w:rPr>
        <w:t>1.3.1 AHRC</w:t>
      </w:r>
    </w:p>
    <w:p w14:paraId="03B8B49B" w14:textId="77777777" w:rsidR="00776733" w:rsidRPr="00D33142" w:rsidRDefault="00776733" w:rsidP="00776733">
      <w:pPr>
        <w:rPr>
          <w:rFonts w:cstheme="minorHAnsi"/>
          <w:sz w:val="20"/>
          <w:szCs w:val="20"/>
        </w:rPr>
      </w:pPr>
      <w:r w:rsidRPr="00D33142">
        <w:rPr>
          <w:rFonts w:cstheme="minorHAnsi"/>
          <w:sz w:val="20"/>
          <w:szCs w:val="20"/>
        </w:rPr>
        <w:t>1.3.2 DTA</w:t>
      </w:r>
    </w:p>
    <w:p w14:paraId="5FF54F63" w14:textId="77777777" w:rsidR="00776733" w:rsidRPr="00D33142" w:rsidRDefault="00776733" w:rsidP="00776733">
      <w:pPr>
        <w:rPr>
          <w:rFonts w:cstheme="minorHAnsi"/>
          <w:sz w:val="20"/>
          <w:szCs w:val="20"/>
        </w:rPr>
      </w:pPr>
      <w:r w:rsidRPr="00D33142">
        <w:rPr>
          <w:rFonts w:cstheme="minorHAnsi"/>
          <w:sz w:val="20"/>
          <w:szCs w:val="20"/>
        </w:rPr>
        <w:t>1.3.3 ABA; and</w:t>
      </w:r>
    </w:p>
    <w:p w14:paraId="60F361D4" w14:textId="77777777" w:rsidR="00776733" w:rsidRPr="00D33142" w:rsidRDefault="00776733" w:rsidP="00776733">
      <w:pPr>
        <w:rPr>
          <w:rFonts w:cstheme="minorHAnsi"/>
          <w:sz w:val="20"/>
          <w:szCs w:val="20"/>
        </w:rPr>
      </w:pPr>
      <w:r w:rsidRPr="00D33142">
        <w:rPr>
          <w:rFonts w:cstheme="minorHAnsi"/>
          <w:sz w:val="20"/>
          <w:szCs w:val="20"/>
        </w:rPr>
        <w:t xml:space="preserve">1.3.4 AER/ESC </w:t>
      </w:r>
    </w:p>
    <w:p w14:paraId="73FCEC30" w14:textId="77777777" w:rsidR="00776733" w:rsidRPr="00D33142" w:rsidRDefault="00776733" w:rsidP="00776733">
      <w:pPr>
        <w:rPr>
          <w:rFonts w:cstheme="minorHAnsi"/>
          <w:sz w:val="20"/>
          <w:szCs w:val="20"/>
        </w:rPr>
      </w:pPr>
    </w:p>
    <w:p w14:paraId="48FDD60A" w14:textId="77777777" w:rsidR="00776733" w:rsidRPr="00D33142" w:rsidRDefault="00776733" w:rsidP="00776733">
      <w:pPr>
        <w:rPr>
          <w:rFonts w:cstheme="minorHAnsi"/>
          <w:i/>
          <w:iCs/>
          <w:color w:val="DC6900"/>
          <w:sz w:val="26"/>
          <w:szCs w:val="26"/>
        </w:rPr>
      </w:pPr>
      <w:r w:rsidRPr="00D33142">
        <w:rPr>
          <w:rFonts w:cstheme="minorHAnsi"/>
          <w:i/>
          <w:iCs/>
          <w:color w:val="DC6900"/>
          <w:sz w:val="26"/>
          <w:szCs w:val="26"/>
        </w:rPr>
        <w:t>Recommendation 2</w:t>
      </w:r>
    </w:p>
    <w:p w14:paraId="4D0906FD" w14:textId="77777777" w:rsidR="00776733" w:rsidRPr="00D33142" w:rsidRDefault="00776733" w:rsidP="00776733">
      <w:pPr>
        <w:rPr>
          <w:rFonts w:cstheme="minorHAnsi"/>
          <w:sz w:val="20"/>
          <w:szCs w:val="20"/>
        </w:rPr>
      </w:pPr>
      <w:r w:rsidRPr="00D33142">
        <w:rPr>
          <w:rFonts w:cstheme="minorHAnsi"/>
          <w:sz w:val="20"/>
          <w:szCs w:val="20"/>
        </w:rPr>
        <w:t>Given the current reliance upon a Design System which is not fit-for-purpose, the Chair addresses the divergence from the GOLD Design System.  Options may include:</w:t>
      </w:r>
    </w:p>
    <w:p w14:paraId="6E5DEB14" w14:textId="77777777" w:rsidR="00776733" w:rsidRPr="00D33142" w:rsidRDefault="00776733" w:rsidP="00776733">
      <w:pPr>
        <w:rPr>
          <w:rFonts w:cstheme="minorHAnsi"/>
          <w:sz w:val="20"/>
          <w:szCs w:val="20"/>
        </w:rPr>
      </w:pPr>
      <w:r w:rsidRPr="00D33142">
        <w:rPr>
          <w:rFonts w:cstheme="minorHAnsi"/>
          <w:sz w:val="20"/>
          <w:szCs w:val="20"/>
        </w:rPr>
        <w:t xml:space="preserve">2.1 Advocating for Design System Au, an open-source community, to build the necessary modules; </w:t>
      </w:r>
    </w:p>
    <w:p w14:paraId="24104FEF" w14:textId="77777777" w:rsidR="00776733" w:rsidRPr="00D33142" w:rsidRDefault="00776733" w:rsidP="00776733">
      <w:pPr>
        <w:rPr>
          <w:rFonts w:cstheme="minorHAnsi"/>
          <w:sz w:val="20"/>
          <w:szCs w:val="20"/>
        </w:rPr>
      </w:pPr>
      <w:r w:rsidRPr="00D33142">
        <w:rPr>
          <w:rFonts w:cstheme="minorHAnsi"/>
          <w:sz w:val="20"/>
          <w:szCs w:val="20"/>
        </w:rPr>
        <w:t>2.2 Seeking funding for these modules to be built, and advocate for their adoption into the GOLD Design System;</w:t>
      </w:r>
    </w:p>
    <w:p w14:paraId="20D74C6F" w14:textId="77777777" w:rsidR="00776733" w:rsidRPr="00D33142" w:rsidRDefault="00776733" w:rsidP="00776733">
      <w:pPr>
        <w:rPr>
          <w:rFonts w:cstheme="minorHAnsi"/>
          <w:sz w:val="20"/>
          <w:szCs w:val="20"/>
        </w:rPr>
      </w:pPr>
      <w:r w:rsidRPr="00D33142">
        <w:rPr>
          <w:rFonts w:cstheme="minorHAnsi"/>
          <w:sz w:val="20"/>
          <w:szCs w:val="20"/>
        </w:rPr>
        <w:t>2.3 Acquiring the GOLD Design System as part of the function(s) of the Chair, and/or DSB.; or</w:t>
      </w:r>
    </w:p>
    <w:p w14:paraId="7E9BF22C" w14:textId="77777777" w:rsidR="00776733" w:rsidRPr="00D33142" w:rsidRDefault="00776733" w:rsidP="00776733">
      <w:pPr>
        <w:rPr>
          <w:rFonts w:cstheme="minorHAnsi"/>
          <w:sz w:val="20"/>
          <w:szCs w:val="20"/>
        </w:rPr>
      </w:pPr>
      <w:r w:rsidRPr="00D33142">
        <w:rPr>
          <w:rFonts w:cstheme="minorHAnsi"/>
          <w:sz w:val="20"/>
          <w:szCs w:val="20"/>
        </w:rPr>
        <w:t xml:space="preserve">2.4 (Preferred) Developing an independent Data Standards Design System that focusses on the needs of data sharing, and consent models, but incorporates components from other systems, such as the GOLD Design System where appropriate. This Design System would also include authentication in its scope. </w:t>
      </w:r>
    </w:p>
    <w:p w14:paraId="3FA67680" w14:textId="77777777" w:rsidR="00776733" w:rsidRPr="00D33142" w:rsidRDefault="00776733" w:rsidP="00776733">
      <w:pPr>
        <w:rPr>
          <w:rFonts w:cstheme="minorHAnsi"/>
          <w:sz w:val="20"/>
          <w:szCs w:val="20"/>
        </w:rPr>
      </w:pPr>
      <w:r w:rsidRPr="00D33142">
        <w:rPr>
          <w:rFonts w:cstheme="minorHAnsi"/>
          <w:sz w:val="20"/>
          <w:szCs w:val="20"/>
        </w:rPr>
        <w:t>As suggested in the Inquiry into Future Directions for the CDR (see pp.188-191), option 2.4 could, if appropriate, support consistent data sharing methods across the economy.</w:t>
      </w:r>
    </w:p>
    <w:p w14:paraId="701CD15B" w14:textId="77777777" w:rsidR="00776733" w:rsidRPr="00D33142" w:rsidRDefault="00776733" w:rsidP="00776733">
      <w:pPr>
        <w:rPr>
          <w:rFonts w:cstheme="minorHAnsi"/>
          <w:sz w:val="20"/>
          <w:szCs w:val="20"/>
        </w:rPr>
      </w:pPr>
    </w:p>
    <w:p w14:paraId="1C988D7E" w14:textId="77777777" w:rsidR="00776733" w:rsidRPr="00D33142" w:rsidRDefault="00776733" w:rsidP="00776733">
      <w:pPr>
        <w:rPr>
          <w:rFonts w:cstheme="minorHAnsi"/>
          <w:i/>
          <w:iCs/>
          <w:color w:val="DC6900"/>
          <w:sz w:val="26"/>
          <w:szCs w:val="26"/>
        </w:rPr>
      </w:pPr>
      <w:r w:rsidRPr="00D33142">
        <w:rPr>
          <w:rFonts w:cstheme="minorHAnsi"/>
          <w:i/>
          <w:iCs/>
          <w:color w:val="DC6900"/>
          <w:sz w:val="26"/>
          <w:szCs w:val="26"/>
        </w:rPr>
        <w:t>Recommendation 3</w:t>
      </w:r>
    </w:p>
    <w:p w14:paraId="0E15ED14" w14:textId="3DAAFB52" w:rsidR="007A5916" w:rsidRPr="00D33142" w:rsidRDefault="00776733" w:rsidP="00776733">
      <w:pPr>
        <w:rPr>
          <w:rFonts w:cstheme="minorHAnsi"/>
          <w:sz w:val="20"/>
          <w:szCs w:val="20"/>
        </w:rPr>
      </w:pPr>
      <w:r w:rsidRPr="00D33142">
        <w:rPr>
          <w:rFonts w:cstheme="minorHAnsi"/>
          <w:sz w:val="20"/>
          <w:szCs w:val="20"/>
        </w:rPr>
        <w:t>The Chair commissions a scoping-study into the development of Usability and Inclusivity framework(s) with the intent of addressing their legislative obligations</w:t>
      </w:r>
    </w:p>
    <w:p w14:paraId="363486BC" w14:textId="182198F1" w:rsidR="00776733" w:rsidRPr="00D33142" w:rsidRDefault="00776733" w:rsidP="00776733">
      <w:pPr>
        <w:rPr>
          <w:rFonts w:cstheme="minorHAnsi"/>
          <w:sz w:val="20"/>
          <w:szCs w:val="20"/>
        </w:rPr>
      </w:pPr>
    </w:p>
    <w:p w14:paraId="28C1FD04" w14:textId="7CD2F732" w:rsidR="00201EA2" w:rsidRPr="00201EA2" w:rsidRDefault="00201EA2" w:rsidP="00201EA2">
      <w:pPr>
        <w:keepNext/>
        <w:keepLines/>
        <w:pageBreakBefore/>
        <w:kinsoku w:val="0"/>
        <w:overflowPunct w:val="0"/>
        <w:autoSpaceDE w:val="0"/>
        <w:autoSpaceDN w:val="0"/>
        <w:adjustRightInd w:val="0"/>
        <w:snapToGrid w:val="0"/>
        <w:spacing w:after="480" w:line="600" w:lineRule="atLeast"/>
        <w:outlineLvl w:val="1"/>
        <w:rPr>
          <w:rFonts w:eastAsia="Times New Roman" w:cstheme="minorHAnsi"/>
          <w:b/>
          <w:bCs/>
          <w:i/>
          <w:iCs/>
          <w:snapToGrid w:val="0"/>
          <w:color w:val="DC6900"/>
          <w:sz w:val="44"/>
          <w:szCs w:val="36"/>
          <w:lang w:val="en-GB"/>
        </w:rPr>
      </w:pPr>
      <w:bookmarkStart w:id="5" w:name="_Toc107563064"/>
      <w:r w:rsidRPr="00201EA2">
        <w:rPr>
          <w:rFonts w:eastAsia="Times New Roman" w:cstheme="minorHAnsi"/>
          <w:b/>
          <w:bCs/>
          <w:i/>
          <w:iCs/>
          <w:snapToGrid w:val="0"/>
          <w:color w:val="DC6900"/>
          <w:sz w:val="44"/>
          <w:szCs w:val="36"/>
          <w:lang w:val="en-GB"/>
        </w:rPr>
        <w:lastRenderedPageBreak/>
        <w:t>Understanding Accessibility, Usability, and Inclusivity obligations</w:t>
      </w:r>
      <w:bookmarkEnd w:id="5"/>
    </w:p>
    <w:p w14:paraId="3514475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legislative function of the Data Standards Chair (</w:t>
      </w:r>
      <w:r w:rsidRPr="00201EA2">
        <w:rPr>
          <w:rFonts w:eastAsia="Times New Roman" w:cstheme="minorHAnsi"/>
          <w:b/>
          <w:bCs/>
          <w:snapToGrid w:val="0"/>
          <w:sz w:val="20"/>
          <w:szCs w:val="20"/>
        </w:rPr>
        <w:t>Chair</w:t>
      </w:r>
      <w:r w:rsidRPr="00201EA2">
        <w:rPr>
          <w:rFonts w:eastAsia="Times New Roman" w:cstheme="minorHAnsi"/>
          <w:snapToGrid w:val="0"/>
          <w:sz w:val="20"/>
          <w:szCs w:val="20"/>
        </w:rPr>
        <w:t>), an Official of the Treasury, is to make and review Data Standards that define the format and process for how consumer data is accessed under the Consumer Data Right (</w:t>
      </w:r>
      <w:r w:rsidRPr="00201EA2">
        <w:rPr>
          <w:rFonts w:eastAsia="Times New Roman" w:cstheme="minorHAnsi"/>
          <w:b/>
          <w:bCs/>
          <w:snapToGrid w:val="0"/>
          <w:sz w:val="20"/>
          <w:szCs w:val="20"/>
        </w:rPr>
        <w:t>CDR</w:t>
      </w:r>
      <w:r w:rsidRPr="00201EA2">
        <w:rPr>
          <w:rFonts w:eastAsia="Times New Roman" w:cstheme="minorHAnsi"/>
          <w:snapToGrid w:val="0"/>
          <w:sz w:val="20"/>
          <w:szCs w:val="20"/>
        </w:rPr>
        <w:t>), with their consent. Informed consent is central to the operation of this Right. If the process by which a consumer grants consent is inaccessible, then their Right is also inaccessible.</w:t>
      </w:r>
    </w:p>
    <w:p w14:paraId="6600B621"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iCs/>
          <w:snapToGrid w:val="0"/>
          <w:color w:val="DC6900"/>
          <w:sz w:val="26"/>
          <w:szCs w:val="24"/>
        </w:rPr>
        <w:t>Equal access for use</w:t>
      </w:r>
      <w:r w:rsidRPr="00201EA2">
        <w:rPr>
          <w:rFonts w:eastAsia="Times New Roman" w:cstheme="minorHAnsi"/>
          <w:i/>
          <w:snapToGrid w:val="0"/>
          <w:color w:val="DC6900"/>
          <w:sz w:val="26"/>
          <w:szCs w:val="24"/>
        </w:rPr>
        <w:t xml:space="preserve"> describes equity of access for digital products and services</w:t>
      </w:r>
    </w:p>
    <w:p w14:paraId="445809AC"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is an objective measure. Just like information security, this concept can be defined, tested and verified. And as a concept, it provides solid benchmarks for the Chair to clearly communicate to CDR participants, and regulators.</w:t>
      </w:r>
    </w:p>
    <w:p w14:paraId="0077E4BA"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is defined the same in both the European </w:t>
      </w:r>
      <w:r w:rsidRPr="00201EA2">
        <w:rPr>
          <w:rFonts w:eastAsia="Times New Roman" w:cstheme="minorHAnsi"/>
          <w:snapToGrid w:val="0"/>
          <w:sz w:val="21"/>
          <w:szCs w:val="20"/>
          <w:vertAlign w:val="superscript"/>
        </w:rPr>
        <w:footnoteReference w:id="1"/>
      </w:r>
      <w:r w:rsidRPr="00201EA2">
        <w:rPr>
          <w:rFonts w:eastAsia="Times New Roman" w:cstheme="minorHAnsi"/>
          <w:snapToGrid w:val="0"/>
          <w:sz w:val="20"/>
          <w:szCs w:val="20"/>
        </w:rPr>
        <w:t xml:space="preserve"> and Australian Standards. </w:t>
      </w:r>
      <w:r w:rsidRPr="00201EA2">
        <w:rPr>
          <w:rFonts w:eastAsia="Times New Roman" w:cstheme="minorHAnsi"/>
          <w:snapToGrid w:val="0"/>
          <w:sz w:val="21"/>
          <w:szCs w:val="20"/>
          <w:vertAlign w:val="superscript"/>
        </w:rPr>
        <w:footnoteReference w:id="2"/>
      </w:r>
      <w:r w:rsidRPr="00201EA2">
        <w:rPr>
          <w:rFonts w:eastAsia="Times New Roman" w:cstheme="minorHAnsi"/>
          <w:snapToGrid w:val="0"/>
          <w:sz w:val="20"/>
          <w:szCs w:val="20"/>
        </w:rPr>
        <w:t xml:space="preserve"> It refers to a digital product or service affording </w:t>
      </w: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when the digital product or service meets two functional performance statements:</w:t>
      </w:r>
    </w:p>
    <w:p w14:paraId="128E73DD" w14:textId="77777777" w:rsidR="00201EA2" w:rsidRPr="00201EA2" w:rsidRDefault="00201EA2" w:rsidP="00201EA2">
      <w:pPr>
        <w:numPr>
          <w:ilvl w:val="1"/>
          <w:numId w:val="0"/>
        </w:numPr>
        <w:tabs>
          <w:tab w:val="num" w:pos="1134"/>
        </w:tabs>
        <w:kinsoku w:val="0"/>
        <w:overflowPunct w:val="0"/>
        <w:autoSpaceDE w:val="0"/>
        <w:autoSpaceDN w:val="0"/>
        <w:adjustRightInd w:val="0"/>
        <w:snapToGrid w:val="0"/>
        <w:spacing w:after="0" w:line="240" w:lineRule="auto"/>
        <w:ind w:left="1134" w:hanging="567"/>
        <w:contextualSpacing/>
        <w:rPr>
          <w:rFonts w:eastAsia="Times New Roman" w:cstheme="minorHAnsi"/>
          <w:snapToGrid w:val="0"/>
          <w:color w:val="000000"/>
          <w:sz w:val="20"/>
          <w:szCs w:val="20"/>
        </w:rPr>
      </w:pPr>
      <w:r w:rsidRPr="00201EA2">
        <w:rPr>
          <w:rFonts w:eastAsia="Times New Roman" w:cstheme="minorHAnsi"/>
          <w:snapToGrid w:val="0"/>
          <w:sz w:val="20"/>
          <w:szCs w:val="20"/>
        </w:rPr>
        <w:t xml:space="preserve">Enable any user to locate, identify, operate functions, and to access the information provided, regardless of their physical, cognitive or sensory abilities. </w:t>
      </w:r>
    </w:p>
    <w:p w14:paraId="7DFF92EA" w14:textId="77777777" w:rsidR="00201EA2" w:rsidRPr="00201EA2" w:rsidRDefault="00201EA2" w:rsidP="00201EA2">
      <w:pPr>
        <w:numPr>
          <w:ilvl w:val="1"/>
          <w:numId w:val="0"/>
        </w:numPr>
        <w:tabs>
          <w:tab w:val="num" w:pos="1134"/>
        </w:tabs>
        <w:kinsoku w:val="0"/>
        <w:overflowPunct w:val="0"/>
        <w:autoSpaceDE w:val="0"/>
        <w:autoSpaceDN w:val="0"/>
        <w:adjustRightInd w:val="0"/>
        <w:snapToGrid w:val="0"/>
        <w:spacing w:after="0" w:line="240" w:lineRule="auto"/>
        <w:ind w:left="1134" w:hanging="567"/>
        <w:contextualSpacing/>
        <w:rPr>
          <w:rFonts w:eastAsia="Times New Roman" w:cstheme="minorHAnsi"/>
          <w:snapToGrid w:val="0"/>
          <w:color w:val="000000"/>
          <w:sz w:val="20"/>
          <w:szCs w:val="20"/>
        </w:rPr>
      </w:pPr>
      <w:r w:rsidRPr="00201EA2">
        <w:rPr>
          <w:rFonts w:eastAsia="Times New Roman" w:cstheme="minorHAnsi"/>
          <w:snapToGrid w:val="0"/>
          <w:sz w:val="20"/>
          <w:szCs w:val="20"/>
        </w:rPr>
        <w:t>Maintain the privacy and security of any user at the same level regardless of the accessibility features of the content or service.</w:t>
      </w:r>
    </w:p>
    <w:p w14:paraId="50B4181A" w14:textId="77777777" w:rsidR="00201EA2" w:rsidRPr="00201EA2" w:rsidRDefault="00201EA2" w:rsidP="00201EA2">
      <w:pPr>
        <w:kinsoku w:val="0"/>
        <w:overflowPunct w:val="0"/>
        <w:autoSpaceDE w:val="0"/>
        <w:autoSpaceDN w:val="0"/>
        <w:adjustRightInd w:val="0"/>
        <w:snapToGrid w:val="0"/>
        <w:spacing w:after="0" w:line="240" w:lineRule="auto"/>
        <w:ind w:left="1134"/>
        <w:contextualSpacing/>
        <w:rPr>
          <w:rFonts w:eastAsia="Times New Roman" w:cstheme="minorHAnsi"/>
          <w:snapToGrid w:val="0"/>
          <w:color w:val="000000"/>
          <w:sz w:val="20"/>
          <w:szCs w:val="20"/>
        </w:rPr>
      </w:pPr>
    </w:p>
    <w:p w14:paraId="280D6DB2"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comply with relevant legislative requirements, the Data Standards need to address both these performance statements, which is partly achieved – in terms of Accessibility - through compliance with the W3C’s Web Content Accessibility Guidelines (</w:t>
      </w:r>
      <w:r w:rsidRPr="00201EA2">
        <w:rPr>
          <w:rFonts w:eastAsia="Times New Roman" w:cstheme="minorHAnsi"/>
          <w:b/>
          <w:bCs/>
          <w:snapToGrid w:val="0"/>
          <w:sz w:val="20"/>
          <w:szCs w:val="20"/>
        </w:rPr>
        <w:t>WCAG</w:t>
      </w:r>
      <w:r w:rsidRPr="00201EA2">
        <w:rPr>
          <w:rFonts w:eastAsia="Times New Roman" w:cstheme="minorHAnsi"/>
          <w:snapToGrid w:val="0"/>
          <w:sz w:val="20"/>
          <w:szCs w:val="20"/>
        </w:rPr>
        <w:t xml:space="preserve">). </w:t>
      </w:r>
      <w:r w:rsidRPr="00201EA2">
        <w:rPr>
          <w:rFonts w:eastAsia="Times New Roman" w:cstheme="minorHAnsi"/>
          <w:snapToGrid w:val="0"/>
          <w:sz w:val="21"/>
          <w:szCs w:val="20"/>
          <w:vertAlign w:val="superscript"/>
        </w:rPr>
        <w:footnoteReference w:id="3"/>
      </w:r>
    </w:p>
    <w:p w14:paraId="26360DBF"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b/>
          <w:bCs/>
          <w:i/>
          <w:color w:val="000000"/>
          <w:szCs w:val="48"/>
          <w:lang w:val="en-GB"/>
        </w:rPr>
      </w:pPr>
      <w:r w:rsidRPr="00201EA2">
        <w:rPr>
          <w:rFonts w:eastAsia="Arial" w:cstheme="minorHAnsi"/>
          <w:b/>
          <w:bCs/>
          <w:i/>
          <w:color w:val="000000"/>
          <w:szCs w:val="48"/>
          <w:lang w:val="en-GB"/>
        </w:rPr>
        <w:t>The World Wide Web Consortium (W3C)</w:t>
      </w:r>
    </w:p>
    <w:p w14:paraId="02BA2830"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The W3C is the main international standards organisation for the World Wide Web.</w:t>
      </w:r>
    </w:p>
    <w:p w14:paraId="3AA47E13"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 xml:space="preserve">The Chair’s obligations to ensure </w:t>
      </w:r>
      <w:r w:rsidRPr="00201EA2">
        <w:rPr>
          <w:rFonts w:eastAsia="Times New Roman" w:cstheme="minorHAnsi"/>
          <w:i/>
          <w:iCs/>
          <w:snapToGrid w:val="0"/>
          <w:color w:val="DC6900"/>
          <w:sz w:val="26"/>
          <w:szCs w:val="24"/>
        </w:rPr>
        <w:t>equal access for use</w:t>
      </w:r>
      <w:r w:rsidRPr="00201EA2">
        <w:rPr>
          <w:rFonts w:eastAsia="Times New Roman" w:cstheme="minorHAnsi"/>
          <w:i/>
          <w:snapToGrid w:val="0"/>
          <w:color w:val="DC6900"/>
          <w:sz w:val="26"/>
          <w:szCs w:val="24"/>
        </w:rPr>
        <w:t xml:space="preserve"> is codified in legislation</w:t>
      </w:r>
    </w:p>
    <w:p w14:paraId="5385611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Legislation codifies the obligation for the Chair to provide </w:t>
      </w:r>
      <w:r w:rsidRPr="00201EA2">
        <w:rPr>
          <w:rFonts w:eastAsia="Times New Roman" w:cstheme="minorHAnsi"/>
          <w:i/>
          <w:iCs/>
          <w:snapToGrid w:val="0"/>
          <w:sz w:val="20"/>
          <w:szCs w:val="20"/>
        </w:rPr>
        <w:t>equal access for use</w:t>
      </w:r>
      <w:r w:rsidRPr="00201EA2">
        <w:rPr>
          <w:rFonts w:eastAsia="Times New Roman" w:cstheme="minorHAnsi"/>
          <w:snapToGrid w:val="0"/>
          <w:sz w:val="20"/>
          <w:szCs w:val="20"/>
        </w:rPr>
        <w:t xml:space="preserve"> of the Data Standards, and to promote the interpretation of </w:t>
      </w: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for implementations based upon the Data Standards.  This obligation emanates from the </w:t>
      </w:r>
      <w:r w:rsidRPr="00201EA2">
        <w:rPr>
          <w:rFonts w:eastAsia="Times New Roman" w:cstheme="minorHAnsi"/>
          <w:i/>
          <w:iCs/>
          <w:snapToGrid w:val="0"/>
          <w:sz w:val="20"/>
          <w:szCs w:val="20"/>
        </w:rPr>
        <w:t>Disability Discrimination Act 1992</w:t>
      </w:r>
      <w:r w:rsidRPr="00201EA2">
        <w:rPr>
          <w:rFonts w:eastAsia="Times New Roman" w:cstheme="minorHAnsi"/>
          <w:snapToGrid w:val="0"/>
          <w:sz w:val="20"/>
          <w:szCs w:val="20"/>
        </w:rPr>
        <w:t xml:space="preserve"> (</w:t>
      </w:r>
      <w:r w:rsidRPr="00201EA2">
        <w:rPr>
          <w:rFonts w:eastAsia="Times New Roman" w:cstheme="minorHAnsi"/>
          <w:b/>
          <w:bCs/>
          <w:snapToGrid w:val="0"/>
          <w:sz w:val="20"/>
          <w:szCs w:val="20"/>
        </w:rPr>
        <w:t>DDA</w:t>
      </w:r>
      <w:r w:rsidRPr="00201EA2">
        <w:rPr>
          <w:rFonts w:eastAsia="Times New Roman" w:cstheme="minorHAnsi"/>
          <w:snapToGrid w:val="0"/>
          <w:sz w:val="20"/>
          <w:szCs w:val="20"/>
        </w:rPr>
        <w:t xml:space="preserve">).  </w:t>
      </w:r>
    </w:p>
    <w:p w14:paraId="3EE9A29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DDA states that, “</w:t>
      </w:r>
      <w:r w:rsidRPr="00201EA2">
        <w:rPr>
          <w:rFonts w:eastAsia="Times New Roman" w:cstheme="minorHAnsi"/>
          <w:i/>
          <w:iCs/>
          <w:snapToGrid w:val="0"/>
          <w:sz w:val="20"/>
          <w:szCs w:val="20"/>
          <w:shd w:val="clear" w:color="auto" w:fill="FFFFFF"/>
        </w:rPr>
        <w:t>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disability in the performance of that function, the exercise of that power or the fulfilment of that responsibility</w:t>
      </w:r>
      <w:r w:rsidRPr="00201EA2">
        <w:rPr>
          <w:rFonts w:eastAsia="Times New Roman" w:cstheme="minorHAnsi"/>
          <w:snapToGrid w:val="0"/>
          <w:sz w:val="20"/>
          <w:szCs w:val="20"/>
          <w:shd w:val="clear" w:color="auto" w:fill="FFFFFF"/>
        </w:rPr>
        <w:t xml:space="preserve">.” </w:t>
      </w:r>
      <w:r w:rsidRPr="00201EA2">
        <w:rPr>
          <w:rFonts w:eastAsia="Times New Roman" w:cstheme="minorHAnsi"/>
          <w:i/>
          <w:iCs/>
          <w:snapToGrid w:val="0"/>
          <w:color w:val="000000"/>
          <w:sz w:val="21"/>
          <w:shd w:val="clear" w:color="auto" w:fill="FFFFFF"/>
          <w:vertAlign w:val="superscript"/>
        </w:rPr>
        <w:footnoteReference w:id="4"/>
      </w:r>
    </w:p>
    <w:p w14:paraId="240E62E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i/>
          <w:iCs/>
          <w:snapToGrid w:val="0"/>
          <w:sz w:val="20"/>
          <w:szCs w:val="20"/>
        </w:rPr>
        <w:t>This legislative requirement</w:t>
      </w:r>
      <w:r w:rsidRPr="00201EA2">
        <w:rPr>
          <w:rFonts w:eastAsia="Times New Roman" w:cstheme="minorHAnsi"/>
          <w:snapToGrid w:val="0"/>
          <w:sz w:val="20"/>
          <w:szCs w:val="20"/>
        </w:rPr>
        <w:t xml:space="preserve"> for Accessibility, Usability, and Inclusivity equally applies to the powers and functions of the Chair, and the Data Standards Body (</w:t>
      </w:r>
      <w:r w:rsidRPr="00201EA2">
        <w:rPr>
          <w:rFonts w:eastAsia="Times New Roman" w:cstheme="minorHAnsi"/>
          <w:b/>
          <w:bCs/>
          <w:snapToGrid w:val="0"/>
          <w:sz w:val="20"/>
          <w:szCs w:val="20"/>
        </w:rPr>
        <w:t>DSB</w:t>
      </w:r>
      <w:r w:rsidRPr="00201EA2">
        <w:rPr>
          <w:rFonts w:eastAsia="Times New Roman" w:cstheme="minorHAnsi"/>
          <w:snapToGrid w:val="0"/>
          <w:sz w:val="20"/>
          <w:szCs w:val="20"/>
        </w:rPr>
        <w:t xml:space="preserve">), which has the sole function of assisting the Chair. </w:t>
      </w:r>
    </w:p>
    <w:p w14:paraId="56F503AB"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000000"/>
          <w:sz w:val="26"/>
          <w:szCs w:val="24"/>
        </w:rPr>
      </w:pPr>
      <w:r w:rsidRPr="00201EA2">
        <w:rPr>
          <w:rFonts w:eastAsia="Times New Roman" w:cstheme="minorHAnsi"/>
          <w:i/>
          <w:snapToGrid w:val="0"/>
          <w:color w:val="DC6900"/>
          <w:sz w:val="26"/>
          <w:szCs w:val="24"/>
        </w:rPr>
        <w:lastRenderedPageBreak/>
        <w:t>Closing the Gap data access target</w:t>
      </w:r>
    </w:p>
    <w:p w14:paraId="109AA97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Closing the Gap framework acknowledges the ongoing strength and resilience of Aboriginal and Torres Strait Islander people in sustaining the world’s oldest living cultures.</w:t>
      </w:r>
    </w:p>
    <w:p w14:paraId="1863F4C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Closing the Gap is underpinned by the belief that when Aboriginal and Torres Strait Islander people have a genuine say in the design and delivery of policies, programs and services that affect them, better life outcomes are achieved. This framework also recognises that structural change in the way governments work with Aboriginal and Torres Strait Islander people is needed to close the gaps across numerous socio-economic, wellbeing and cultural indicators.</w:t>
      </w:r>
    </w:p>
    <w:p w14:paraId="4DB13E45"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In 2020, new targets were committed to Closing the Gap, including the development of Target 17, which states, “People have access to information and services enabling participation in informed decision-making regarding their own lives.” </w:t>
      </w:r>
      <w:r w:rsidRPr="00201EA2">
        <w:rPr>
          <w:rFonts w:eastAsia="Times New Roman" w:cstheme="minorHAnsi"/>
          <w:i/>
          <w:iCs/>
          <w:snapToGrid w:val="0"/>
          <w:color w:val="000000"/>
          <w:sz w:val="21"/>
          <w:szCs w:val="20"/>
          <w:vertAlign w:val="superscript"/>
        </w:rPr>
        <w:footnoteReference w:id="5"/>
      </w:r>
      <w:r w:rsidRPr="00201EA2">
        <w:rPr>
          <w:rFonts w:eastAsia="Times New Roman" w:cstheme="minorHAnsi"/>
          <w:snapToGrid w:val="0"/>
          <w:sz w:val="20"/>
          <w:szCs w:val="20"/>
        </w:rPr>
        <w:t xml:space="preserve"> This Closing the Gap target aligns with the Australian Government Open Data commitments,</w:t>
      </w:r>
      <w:r w:rsidRPr="00201EA2">
        <w:rPr>
          <w:rFonts w:eastAsia="Times New Roman" w:cstheme="minorHAnsi"/>
          <w:snapToGrid w:val="0"/>
          <w:color w:val="000000"/>
          <w:sz w:val="21"/>
          <w:szCs w:val="20"/>
          <w:vertAlign w:val="superscript"/>
        </w:rPr>
        <w:footnoteReference w:id="6"/>
      </w:r>
      <w:r w:rsidRPr="00201EA2">
        <w:rPr>
          <w:rFonts w:eastAsia="Times New Roman" w:cstheme="minorHAnsi"/>
          <w:snapToGrid w:val="0"/>
          <w:sz w:val="20"/>
          <w:szCs w:val="20"/>
        </w:rPr>
        <w:t xml:space="preserve"> of which the CDR is a key component.</w:t>
      </w:r>
    </w:p>
    <w:p w14:paraId="23AEB2B6"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Closing the Gap is an important framework for the Chair, and DSB, to keep in mind when considering the Accessibility, Usability, and Inclusivity of the Data Standards.</w:t>
      </w:r>
    </w:p>
    <w:p w14:paraId="000ABB33"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lang w:val="en-GB"/>
        </w:rPr>
      </w:pPr>
      <w:r w:rsidRPr="00201EA2">
        <w:rPr>
          <w:rFonts w:eastAsia="Times New Roman" w:cstheme="minorHAnsi"/>
          <w:i/>
          <w:snapToGrid w:val="0"/>
          <w:color w:val="DC6900"/>
          <w:sz w:val="26"/>
          <w:szCs w:val="24"/>
          <w:lang w:val="en-GB"/>
        </w:rPr>
        <w:t>Access is a Human Right</w:t>
      </w:r>
    </w:p>
    <w:p w14:paraId="36BC4727"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“Accessibility to banking is a fundamental human right.”</w:t>
      </w:r>
    </w:p>
    <w:p w14:paraId="700282C6"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 xml:space="preserve">Anna Bligh AC CEO, Australian Banking Association, 2018 </w:t>
      </w:r>
      <w:r w:rsidRPr="00201EA2">
        <w:rPr>
          <w:rFonts w:eastAsia="Arial" w:cstheme="minorHAnsi"/>
          <w:i/>
          <w:color w:val="000000"/>
          <w:sz w:val="21"/>
          <w:szCs w:val="48"/>
          <w:vertAlign w:val="superscript"/>
          <w:lang w:val="en-GB"/>
        </w:rPr>
        <w:footnoteReference w:id="7"/>
      </w:r>
    </w:p>
    <w:p w14:paraId="2B5FEB14"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Australian Human Rights Commission (</w:t>
      </w:r>
      <w:r w:rsidRPr="00201EA2">
        <w:rPr>
          <w:rFonts w:eastAsia="Times New Roman" w:cstheme="minorHAnsi"/>
          <w:b/>
          <w:bCs/>
          <w:snapToGrid w:val="0"/>
          <w:sz w:val="20"/>
          <w:szCs w:val="20"/>
        </w:rPr>
        <w:t>AHRC</w:t>
      </w:r>
      <w:r w:rsidRPr="00201EA2">
        <w:rPr>
          <w:rFonts w:eastAsia="Times New Roman" w:cstheme="minorHAnsi"/>
          <w:snapToGrid w:val="0"/>
          <w:sz w:val="20"/>
          <w:szCs w:val="20"/>
        </w:rPr>
        <w:t xml:space="preserve">) states, “The provision of information and online services through the web is a service covered by the DDA. Equal access for people with a disability in this area is required by the DDA.” </w:t>
      </w:r>
      <w:r w:rsidRPr="00201EA2">
        <w:rPr>
          <w:rFonts w:eastAsia="Times New Roman" w:cstheme="minorHAnsi"/>
          <w:snapToGrid w:val="0"/>
          <w:sz w:val="21"/>
          <w:szCs w:val="20"/>
          <w:vertAlign w:val="superscript"/>
        </w:rPr>
        <w:footnoteReference w:id="8"/>
      </w:r>
      <w:r w:rsidRPr="00201EA2">
        <w:rPr>
          <w:rFonts w:eastAsia="Times New Roman" w:cstheme="minorHAnsi"/>
          <w:snapToGrid w:val="0"/>
          <w:sz w:val="20"/>
          <w:szCs w:val="20"/>
        </w:rPr>
        <w:t xml:space="preserve"> </w:t>
      </w:r>
      <w:r w:rsidRPr="00201EA2">
        <w:rPr>
          <w:rFonts w:eastAsia="Times New Roman" w:cstheme="minorHAnsi"/>
          <w:snapToGrid w:val="0"/>
          <w:sz w:val="20"/>
          <w:szCs w:val="20"/>
        </w:rPr>
        <w:br/>
        <w:t xml:space="preserve">(See </w:t>
      </w:r>
      <w:r w:rsidRPr="00201EA2">
        <w:rPr>
          <w:rFonts w:eastAsia="Times New Roman" w:cstheme="minorHAnsi"/>
          <w:b/>
          <w:bCs/>
          <w:snapToGrid w:val="0"/>
          <w:sz w:val="20"/>
          <w:szCs w:val="20"/>
        </w:rPr>
        <w:t>Appendix 1</w:t>
      </w:r>
      <w:r w:rsidRPr="00201EA2">
        <w:rPr>
          <w:rFonts w:eastAsia="Times New Roman" w:cstheme="minorHAnsi"/>
          <w:snapToGrid w:val="0"/>
          <w:sz w:val="20"/>
          <w:szCs w:val="20"/>
        </w:rPr>
        <w:t xml:space="preserve"> for detail on the Rights of Persons with Disabilities.)</w:t>
      </w:r>
    </w:p>
    <w:p w14:paraId="19CA2F9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highlight w:val="yellow"/>
        </w:rPr>
      </w:pPr>
      <w:r w:rsidRPr="00201EA2">
        <w:rPr>
          <w:rFonts w:eastAsia="Times New Roman" w:cstheme="minorHAnsi"/>
          <w:snapToGrid w:val="0"/>
          <w:sz w:val="20"/>
          <w:szCs w:val="20"/>
        </w:rPr>
        <w:t xml:space="preserve">The AHRC advice on the application of the DDA states equal access of use applies universally across society, including, “professional services, banking, insurance or financial services, … telecommunications services, … or government services; sale or rental of real estate; or administration of Commonwealth laws and programs.” </w:t>
      </w:r>
      <w:r w:rsidRPr="00201EA2">
        <w:rPr>
          <w:rFonts w:eastAsia="Times New Roman" w:cstheme="minorHAnsi"/>
          <w:i/>
          <w:iCs/>
          <w:snapToGrid w:val="0"/>
          <w:sz w:val="21"/>
          <w:szCs w:val="20"/>
          <w:vertAlign w:val="superscript"/>
        </w:rPr>
        <w:footnoteReference w:id="9"/>
      </w:r>
    </w:p>
    <w:p w14:paraId="153432D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highlight w:val="yellow"/>
        </w:rPr>
      </w:pPr>
      <w:r w:rsidRPr="00201EA2">
        <w:rPr>
          <w:rFonts w:eastAsia="Times New Roman" w:cstheme="minorHAnsi"/>
          <w:snapToGrid w:val="0"/>
          <w:sz w:val="20"/>
          <w:szCs w:val="20"/>
        </w:rPr>
        <w:t xml:space="preserve">The AHRC further advises that this applies to any individual or organisation irrespective: </w:t>
      </w:r>
      <w:r w:rsidRPr="00201EA2">
        <w:rPr>
          <w:rFonts w:eastAsia="Times New Roman" w:cstheme="minorHAnsi"/>
          <w:snapToGrid w:val="0"/>
          <w:sz w:val="21"/>
          <w:szCs w:val="20"/>
          <w:vertAlign w:val="superscript"/>
        </w:rPr>
        <w:footnoteReference w:id="10"/>
      </w:r>
      <w:r w:rsidRPr="00201EA2">
        <w:rPr>
          <w:rFonts w:eastAsia="Times New Roman" w:cstheme="minorHAnsi"/>
          <w:snapToGrid w:val="0"/>
          <w:sz w:val="20"/>
          <w:szCs w:val="20"/>
        </w:rPr>
        <w:t xml:space="preserve"> </w:t>
      </w:r>
    </w:p>
    <w:p w14:paraId="0E8F1E93"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of the digital format the information and/or service is provided, and/or</w:t>
      </w:r>
    </w:p>
    <w:p w14:paraId="2394B749"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whether provided for payment or not.</w:t>
      </w:r>
    </w:p>
    <w:p w14:paraId="1B4822BF"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Consequently, expressing the requirement of equal access for all in the Data Standards is consistent with extant expectations placed upon all existing, and potential, CDR participants.</w:t>
      </w:r>
    </w:p>
    <w:p w14:paraId="3969A7D8"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The AHRC considers that all digital goods or services should achieve a minimum conformance with WCAG level AA success criteria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afford equal access of use. Additionally, the AHRC advises, some digital goods or services may need to achieve conformance with at least some higher-level AAA success criteria. </w:t>
      </w:r>
      <w:r w:rsidRPr="00201EA2">
        <w:rPr>
          <w:rFonts w:eastAsia="Times New Roman" w:cstheme="minorHAnsi"/>
          <w:snapToGrid w:val="0"/>
          <w:sz w:val="21"/>
          <w:szCs w:val="20"/>
          <w:vertAlign w:val="superscript"/>
        </w:rPr>
        <w:footnoteReference w:id="11"/>
      </w:r>
      <w:r w:rsidRPr="00201EA2">
        <w:rPr>
          <w:rFonts w:eastAsia="Times New Roman" w:cstheme="minorHAnsi"/>
          <w:snapToGrid w:val="0"/>
          <w:sz w:val="20"/>
          <w:szCs w:val="20"/>
        </w:rPr>
        <w:t xml:space="preserve"> </w:t>
      </w:r>
    </w:p>
    <w:p w14:paraId="2558D4A0"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highlight w:val="yellow"/>
        </w:rPr>
      </w:pPr>
      <w:r w:rsidRPr="00201EA2">
        <w:rPr>
          <w:rFonts w:eastAsia="Times New Roman" w:cstheme="minorHAnsi"/>
          <w:snapToGrid w:val="0"/>
          <w:sz w:val="20"/>
          <w:szCs w:val="20"/>
        </w:rPr>
        <w:lastRenderedPageBreak/>
        <w:t>Consequently, how the Data Standards should meet different levels of each WCAG success-criteria (A/AA/</w:t>
      </w:r>
      <w:proofErr w:type="gramStart"/>
      <w:r w:rsidRPr="00201EA2">
        <w:rPr>
          <w:rFonts w:eastAsia="Times New Roman" w:cstheme="minorHAnsi"/>
          <w:snapToGrid w:val="0"/>
          <w:sz w:val="20"/>
          <w:szCs w:val="20"/>
        </w:rPr>
        <w:t>AAA)  needs</w:t>
      </w:r>
      <w:proofErr w:type="gramEnd"/>
      <w:r w:rsidRPr="00201EA2">
        <w:rPr>
          <w:rFonts w:eastAsia="Times New Roman" w:cstheme="minorHAnsi"/>
          <w:snapToGrid w:val="0"/>
          <w:sz w:val="20"/>
          <w:szCs w:val="20"/>
        </w:rPr>
        <w:t xml:space="preserve"> to be determined. The Chair may decide to liaise with the AHRC in this regard.</w:t>
      </w:r>
    </w:p>
    <w:p w14:paraId="5BE1B8B8"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A failure to provide Data Standards that afford equal access of use could exclude and discriminate against people with a </w:t>
      </w:r>
      <w:proofErr w:type="gramStart"/>
      <w:r w:rsidRPr="00201EA2">
        <w:rPr>
          <w:rFonts w:eastAsia="Times New Roman" w:cstheme="minorHAnsi"/>
          <w:snapToGrid w:val="0"/>
          <w:sz w:val="20"/>
          <w:szCs w:val="20"/>
        </w:rPr>
        <w:t>disability, and</w:t>
      </w:r>
      <w:proofErr w:type="gramEnd"/>
      <w:r w:rsidRPr="00201EA2">
        <w:rPr>
          <w:rFonts w:eastAsia="Times New Roman" w:cstheme="minorHAnsi"/>
          <w:snapToGrid w:val="0"/>
          <w:sz w:val="20"/>
          <w:szCs w:val="20"/>
        </w:rPr>
        <w:t xml:space="preserve"> doing so would breach the DDA; create reputational, program, and implementation risks for officials, the program, and the government; as well as negatively impacting businesses, and communities in Australia.</w:t>
      </w:r>
    </w:p>
    <w:p w14:paraId="7D784654"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b/>
          <w:bCs/>
          <w:i/>
          <w:color w:val="000000"/>
          <w:szCs w:val="48"/>
          <w:lang w:val="en-GB"/>
        </w:rPr>
      </w:pPr>
      <w:r w:rsidRPr="00201EA2">
        <w:rPr>
          <w:rFonts w:eastAsia="Arial" w:cstheme="minorHAnsi"/>
          <w:b/>
          <w:bCs/>
          <w:i/>
          <w:color w:val="000000"/>
          <w:szCs w:val="48"/>
          <w:lang w:val="en-GB"/>
        </w:rPr>
        <w:t>The Australian Human Rights Commission (AHRC)</w:t>
      </w:r>
    </w:p>
    <w:p w14:paraId="0A2EFC68"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The AHRC is the accredited national human rights institution (NHRI) for Australia. The Commission has a role engaging with UN human rights mechanisms, to promote and protect human rights both in Australia and within the international human rights arena.</w:t>
      </w:r>
    </w:p>
    <w:p w14:paraId="4795C6DF"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lang w:val="en-GB"/>
        </w:rPr>
      </w:pPr>
      <w:r w:rsidRPr="00201EA2">
        <w:rPr>
          <w:rFonts w:eastAsia="Times New Roman" w:cstheme="minorHAnsi"/>
          <w:i/>
          <w:snapToGrid w:val="0"/>
          <w:color w:val="DC6900"/>
          <w:sz w:val="26"/>
          <w:szCs w:val="24"/>
          <w:lang w:val="en-GB"/>
        </w:rPr>
        <w:t xml:space="preserve">Accessibility, </w:t>
      </w:r>
      <w:proofErr w:type="gramStart"/>
      <w:r w:rsidRPr="00201EA2">
        <w:rPr>
          <w:rFonts w:eastAsia="Times New Roman" w:cstheme="minorHAnsi"/>
          <w:i/>
          <w:snapToGrid w:val="0"/>
          <w:color w:val="DC6900"/>
          <w:sz w:val="26"/>
          <w:szCs w:val="24"/>
          <w:lang w:val="en-GB"/>
        </w:rPr>
        <w:t>Usability</w:t>
      </w:r>
      <w:proofErr w:type="gramEnd"/>
      <w:r w:rsidRPr="00201EA2">
        <w:rPr>
          <w:rFonts w:eastAsia="Times New Roman" w:cstheme="minorHAnsi"/>
          <w:i/>
          <w:snapToGrid w:val="0"/>
          <w:color w:val="DC6900"/>
          <w:sz w:val="26"/>
          <w:szCs w:val="24"/>
          <w:lang w:val="en-GB"/>
        </w:rPr>
        <w:t xml:space="preserve"> and Inclusion</w:t>
      </w:r>
    </w:p>
    <w:p w14:paraId="57FB2F7A"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201EA2">
        <w:rPr>
          <w:rFonts w:eastAsia="Times New Roman" w:cstheme="minorHAnsi"/>
          <w:snapToGrid w:val="0"/>
          <w:sz w:val="20"/>
          <w:szCs w:val="20"/>
          <w:lang w:val="en-GB"/>
        </w:rPr>
        <w:t>Clearly Accessibility is a key part of making sure that all Australians can access the CDR, but it does not cover all needs. Considering Accessibility together with Usability through an Inclusive design lens gives a more holistic picture of what the Chair can do to ensure Australians can access their rights under CDR. Accessibility, Usability and Inclusion are all required under equal access for use.</w:t>
      </w:r>
    </w:p>
    <w:p w14:paraId="5A594CAF"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Designing for </w:t>
      </w:r>
      <w:r w:rsidRPr="00201EA2">
        <w:rPr>
          <w:rFonts w:eastAsia="Times New Roman" w:cstheme="minorHAnsi"/>
          <w:b/>
          <w:bCs/>
          <w:snapToGrid w:val="0"/>
          <w:sz w:val="20"/>
          <w:szCs w:val="20"/>
        </w:rPr>
        <w:t>Accessibility</w:t>
      </w:r>
      <w:r w:rsidRPr="00201EA2">
        <w:rPr>
          <w:rFonts w:eastAsia="Times New Roman" w:cstheme="minorHAnsi"/>
          <w:snapToGrid w:val="0"/>
          <w:sz w:val="20"/>
          <w:szCs w:val="20"/>
        </w:rPr>
        <w:t xml:space="preserve"> primarily addresses the needs of people with disabilities. Web accessibility means that people with disabilities can equally perceive, understand, navigate, and interact with websites and tools. It also means that they can contribute equally without barriers.</w:t>
      </w:r>
      <w:r w:rsidRPr="00201EA2">
        <w:rPr>
          <w:rFonts w:eastAsia="Times New Roman" w:cstheme="minorHAnsi"/>
          <w:snapToGrid w:val="0"/>
          <w:sz w:val="21"/>
          <w:szCs w:val="20"/>
          <w:vertAlign w:val="superscript"/>
        </w:rPr>
        <w:footnoteReference w:id="12"/>
      </w:r>
      <w:r w:rsidRPr="00201EA2">
        <w:rPr>
          <w:rFonts w:eastAsia="Times New Roman" w:cstheme="minorHAnsi"/>
          <w:snapToGrid w:val="0"/>
          <w:sz w:val="20"/>
          <w:szCs w:val="20"/>
        </w:rPr>
        <w:t xml:space="preserve"> Accessibility standards are clearly outlined in WCAG. Legislation and policy require compliance.</w:t>
      </w:r>
    </w:p>
    <w:p w14:paraId="2EDFCEF6"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Designing for </w:t>
      </w:r>
      <w:r w:rsidRPr="00201EA2">
        <w:rPr>
          <w:rFonts w:eastAsia="Times New Roman" w:cstheme="minorHAnsi"/>
          <w:b/>
          <w:bCs/>
          <w:snapToGrid w:val="0"/>
          <w:sz w:val="20"/>
          <w:szCs w:val="20"/>
        </w:rPr>
        <w:t>Usability</w:t>
      </w:r>
      <w:r w:rsidRPr="00201EA2">
        <w:rPr>
          <w:rFonts w:eastAsia="Times New Roman" w:cstheme="minorHAnsi"/>
          <w:snapToGrid w:val="0"/>
          <w:sz w:val="20"/>
          <w:szCs w:val="20"/>
        </w:rPr>
        <w:t xml:space="preserve"> means ensuring that digital products and services are effective, efficient, and satisfying for the people who use them. Usability includes user experience (UX) design. Unlike Accessibility, Usability does not explicitly consider the needs of vulnerable users. </w:t>
      </w:r>
    </w:p>
    <w:p w14:paraId="5B1370BB"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Designing for </w:t>
      </w:r>
      <w:r w:rsidRPr="00201EA2">
        <w:rPr>
          <w:rFonts w:eastAsia="Times New Roman" w:cstheme="minorHAnsi"/>
          <w:b/>
          <w:bCs/>
          <w:snapToGrid w:val="0"/>
          <w:sz w:val="20"/>
          <w:szCs w:val="20"/>
        </w:rPr>
        <w:t>Inclusion</w:t>
      </w:r>
      <w:r w:rsidRPr="00201EA2">
        <w:rPr>
          <w:rFonts w:eastAsia="Times New Roman" w:cstheme="minorHAnsi"/>
          <w:snapToGrid w:val="0"/>
          <w:sz w:val="20"/>
          <w:szCs w:val="20"/>
        </w:rPr>
        <w:t xml:space="preserve"> means creating products and services that support people of all backgrounds and abilities to successfully achieve desired outcomes. Inclusion addresses a broad range of issues including:</w:t>
      </w:r>
      <w:r w:rsidRPr="00201EA2">
        <w:rPr>
          <w:rFonts w:eastAsia="Times New Roman" w:cstheme="minorHAnsi"/>
          <w:snapToGrid w:val="0"/>
          <w:sz w:val="21"/>
          <w:szCs w:val="20"/>
          <w:vertAlign w:val="superscript"/>
        </w:rPr>
        <w:footnoteReference w:id="13"/>
      </w:r>
    </w:p>
    <w:p w14:paraId="13D8AD13"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accessibility for people with </w:t>
      </w:r>
      <w:proofErr w:type="gramStart"/>
      <w:r w:rsidRPr="00201EA2">
        <w:rPr>
          <w:rFonts w:eastAsia="Times New Roman" w:cstheme="minorHAnsi"/>
          <w:snapToGrid w:val="0"/>
          <w:sz w:val="20"/>
          <w:szCs w:val="20"/>
          <w:lang w:val="en-GB"/>
        </w:rPr>
        <w:t>disabilities;</w:t>
      </w:r>
      <w:proofErr w:type="gramEnd"/>
    </w:p>
    <w:p w14:paraId="7A745E08"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access to and quality of hardware, software, and Internet </w:t>
      </w:r>
      <w:proofErr w:type="gramStart"/>
      <w:r w:rsidRPr="00201EA2">
        <w:rPr>
          <w:rFonts w:eastAsia="Times New Roman" w:cstheme="minorHAnsi"/>
          <w:snapToGrid w:val="0"/>
          <w:sz w:val="20"/>
          <w:szCs w:val="20"/>
          <w:lang w:val="en-GB"/>
        </w:rPr>
        <w:t>connectivity;</w:t>
      </w:r>
      <w:proofErr w:type="gramEnd"/>
    </w:p>
    <w:p w14:paraId="5D485895"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computer literacy and </w:t>
      </w:r>
      <w:proofErr w:type="gramStart"/>
      <w:r w:rsidRPr="00201EA2">
        <w:rPr>
          <w:rFonts w:eastAsia="Times New Roman" w:cstheme="minorHAnsi"/>
          <w:snapToGrid w:val="0"/>
          <w:sz w:val="20"/>
          <w:szCs w:val="20"/>
          <w:lang w:val="en-GB"/>
        </w:rPr>
        <w:t>skills;</w:t>
      </w:r>
      <w:proofErr w:type="gramEnd"/>
    </w:p>
    <w:p w14:paraId="3B7B39C0"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economic </w:t>
      </w:r>
      <w:proofErr w:type="gramStart"/>
      <w:r w:rsidRPr="00201EA2">
        <w:rPr>
          <w:rFonts w:eastAsia="Times New Roman" w:cstheme="minorHAnsi"/>
          <w:snapToGrid w:val="0"/>
          <w:sz w:val="20"/>
          <w:szCs w:val="20"/>
          <w:lang w:val="en-GB"/>
        </w:rPr>
        <w:t>situation;</w:t>
      </w:r>
      <w:proofErr w:type="gramEnd"/>
    </w:p>
    <w:p w14:paraId="01634AA1"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proofErr w:type="gramStart"/>
      <w:r w:rsidRPr="00201EA2">
        <w:rPr>
          <w:rFonts w:eastAsia="Times New Roman" w:cstheme="minorHAnsi"/>
          <w:snapToGrid w:val="0"/>
          <w:sz w:val="20"/>
          <w:szCs w:val="20"/>
          <w:lang w:val="en-GB"/>
        </w:rPr>
        <w:t>education;</w:t>
      </w:r>
      <w:proofErr w:type="gramEnd"/>
    </w:p>
    <w:p w14:paraId="5932A7BA"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geographic </w:t>
      </w:r>
      <w:proofErr w:type="gramStart"/>
      <w:r w:rsidRPr="00201EA2">
        <w:rPr>
          <w:rFonts w:eastAsia="Times New Roman" w:cstheme="minorHAnsi"/>
          <w:snapToGrid w:val="0"/>
          <w:sz w:val="20"/>
          <w:szCs w:val="20"/>
          <w:lang w:val="en-GB"/>
        </w:rPr>
        <w:t>location;</w:t>
      </w:r>
      <w:proofErr w:type="gramEnd"/>
    </w:p>
    <w:p w14:paraId="07596EFB"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proofErr w:type="gramStart"/>
      <w:r w:rsidRPr="00201EA2">
        <w:rPr>
          <w:rFonts w:eastAsia="Times New Roman" w:cstheme="minorHAnsi"/>
          <w:snapToGrid w:val="0"/>
          <w:sz w:val="20"/>
          <w:szCs w:val="20"/>
          <w:lang w:val="en-GB"/>
        </w:rPr>
        <w:t>culture;</w:t>
      </w:r>
      <w:proofErr w:type="gramEnd"/>
    </w:p>
    <w:p w14:paraId="0D033B0D"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age, including older and younger people; and</w:t>
      </w:r>
    </w:p>
    <w:p w14:paraId="4FFD071C"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lang w:val="en-GB"/>
        </w:rPr>
      </w:pPr>
      <w:r w:rsidRPr="00201EA2">
        <w:rPr>
          <w:rFonts w:eastAsia="Times New Roman" w:cstheme="minorHAnsi"/>
          <w:snapToGrid w:val="0"/>
          <w:sz w:val="20"/>
          <w:szCs w:val="20"/>
          <w:lang w:val="en-GB"/>
        </w:rPr>
        <w:t>language.</w:t>
      </w:r>
    </w:p>
    <w:p w14:paraId="3906AF83"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Unlike Accessibility, neither Usability or Inclusion have accepted international or Australian conventions which clearly articulates responsibilities to decision makers. As the Chair, and the DSB, consider embedding </w:t>
      </w: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across the CDR consent model, they should consider Inclusion in a broad sense. This will align with requirements under DDA, WCAG, and the Australian Government Digital Service Standards.</w:t>
      </w:r>
    </w:p>
    <w:p w14:paraId="50881579"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lastRenderedPageBreak/>
        <w:t xml:space="preserve">Adopting this approach would require research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develop a framework for Usability and Inclusion, particularly with regard to vulnerable consumers. Such an approach would also align with priorities raised by the Assistant Treasurer Jones, Minister for the CDR, back in 2019, when he noted the potential impact of the CDR on vulnerable consumers needs to be monitored,</w:t>
      </w:r>
      <w:r w:rsidRPr="00201EA2">
        <w:rPr>
          <w:rFonts w:eastAsia="Times New Roman" w:cstheme="minorHAnsi"/>
          <w:snapToGrid w:val="0"/>
          <w:sz w:val="21"/>
          <w:szCs w:val="20"/>
          <w:vertAlign w:val="superscript"/>
        </w:rPr>
        <w:footnoteReference w:id="14"/>
      </w:r>
      <w:r w:rsidRPr="00201EA2">
        <w:rPr>
          <w:rFonts w:eastAsia="Times New Roman" w:cstheme="minorHAnsi"/>
          <w:snapToGrid w:val="0"/>
          <w:sz w:val="20"/>
          <w:szCs w:val="20"/>
        </w:rPr>
        <w:t xml:space="preserve"> and that more needed to be done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ensure that vulnerable CDR consumers are not discriminated against.</w:t>
      </w:r>
      <w:r w:rsidRPr="00201EA2">
        <w:rPr>
          <w:rFonts w:eastAsia="Times New Roman" w:cstheme="minorHAnsi"/>
          <w:snapToGrid w:val="0"/>
          <w:sz w:val="21"/>
          <w:szCs w:val="20"/>
          <w:vertAlign w:val="superscript"/>
        </w:rPr>
        <w:footnoteReference w:id="15"/>
      </w:r>
    </w:p>
    <w:p w14:paraId="0FAC977B" w14:textId="203807A7" w:rsidR="00201EA2" w:rsidRPr="00D3314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This approach is also broadly reflected in the DSB’s Consumer Experience (</w:t>
      </w:r>
      <w:r w:rsidRPr="00201EA2">
        <w:rPr>
          <w:rFonts w:eastAsia="Times New Roman" w:cstheme="minorHAnsi"/>
          <w:b/>
          <w:bCs/>
          <w:snapToGrid w:val="0"/>
          <w:sz w:val="20"/>
          <w:szCs w:val="20"/>
        </w:rPr>
        <w:t>CX</w:t>
      </w:r>
      <w:r w:rsidRPr="00201EA2">
        <w:rPr>
          <w:rFonts w:eastAsia="Times New Roman" w:cstheme="minorHAnsi"/>
          <w:snapToGrid w:val="0"/>
          <w:sz w:val="20"/>
          <w:szCs w:val="20"/>
        </w:rPr>
        <w:t>) Research</w:t>
      </w:r>
      <w:r w:rsidRPr="00201EA2">
        <w:rPr>
          <w:rFonts w:eastAsia="Times New Roman" w:cstheme="minorHAnsi"/>
          <w:snapToGrid w:val="0"/>
          <w:sz w:val="21"/>
          <w:szCs w:val="20"/>
          <w:vertAlign w:val="superscript"/>
        </w:rPr>
        <w:footnoteReference w:id="16"/>
      </w:r>
      <w:r w:rsidRPr="00201EA2">
        <w:rPr>
          <w:rFonts w:eastAsia="Times New Roman" w:cstheme="minorHAnsi"/>
          <w:snapToGrid w:val="0"/>
          <w:sz w:val="20"/>
          <w:szCs w:val="20"/>
        </w:rPr>
        <w:t xml:space="preserve">, which has adopted a ‘no edge-case’ approach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support the design of a more Accessible, Usable and Inclusive CDR.</w:t>
      </w:r>
    </w:p>
    <w:p w14:paraId="208A570E" w14:textId="77777777" w:rsidR="00201EA2" w:rsidRPr="00D33142" w:rsidRDefault="00201EA2">
      <w:pPr>
        <w:rPr>
          <w:rFonts w:eastAsia="Times New Roman" w:cstheme="minorHAnsi"/>
          <w:snapToGrid w:val="0"/>
          <w:sz w:val="20"/>
          <w:szCs w:val="20"/>
        </w:rPr>
      </w:pPr>
      <w:r w:rsidRPr="00D33142">
        <w:rPr>
          <w:rFonts w:eastAsia="Times New Roman" w:cstheme="minorHAnsi"/>
          <w:snapToGrid w:val="0"/>
          <w:sz w:val="20"/>
          <w:szCs w:val="20"/>
        </w:rPr>
        <w:br w:type="page"/>
      </w:r>
    </w:p>
    <w:p w14:paraId="03C39AE7" w14:textId="1253D47E" w:rsidR="00201EA2" w:rsidRPr="00201EA2" w:rsidRDefault="00201EA2" w:rsidP="00201EA2">
      <w:pPr>
        <w:keepNext/>
        <w:keepLines/>
        <w:pageBreakBefore/>
        <w:kinsoku w:val="0"/>
        <w:overflowPunct w:val="0"/>
        <w:autoSpaceDE w:val="0"/>
        <w:autoSpaceDN w:val="0"/>
        <w:adjustRightInd w:val="0"/>
        <w:snapToGrid w:val="0"/>
        <w:spacing w:after="480" w:line="600" w:lineRule="atLeast"/>
        <w:outlineLvl w:val="1"/>
        <w:rPr>
          <w:rFonts w:eastAsia="Times New Roman" w:cstheme="minorHAnsi"/>
          <w:b/>
          <w:bCs/>
          <w:i/>
          <w:iCs/>
          <w:snapToGrid w:val="0"/>
          <w:color w:val="DC6900"/>
          <w:sz w:val="44"/>
          <w:szCs w:val="36"/>
          <w:lang w:val="en-GB"/>
        </w:rPr>
      </w:pPr>
      <w:bookmarkStart w:id="6" w:name="_Toc107563065"/>
      <w:r w:rsidRPr="00201EA2">
        <w:rPr>
          <w:rFonts w:eastAsia="Times New Roman" w:cstheme="minorHAnsi"/>
          <w:b/>
          <w:bCs/>
          <w:i/>
          <w:iCs/>
          <w:snapToGrid w:val="0"/>
          <w:color w:val="DC6900"/>
          <w:sz w:val="44"/>
          <w:szCs w:val="36"/>
          <w:lang w:val="en-GB"/>
        </w:rPr>
        <w:lastRenderedPageBreak/>
        <w:t>Current Design Standards, Policies and Frameworks</w:t>
      </w:r>
      <w:bookmarkEnd w:id="6"/>
    </w:p>
    <w:p w14:paraId="021A3DC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lang w:val="en-GB"/>
        </w:rPr>
      </w:pPr>
      <w:r w:rsidRPr="00201EA2">
        <w:rPr>
          <w:rFonts w:eastAsia="Times New Roman" w:cstheme="minorHAnsi"/>
          <w:snapToGrid w:val="0"/>
          <w:sz w:val="20"/>
          <w:szCs w:val="20"/>
          <w:lang w:val="en-GB"/>
        </w:rPr>
        <w:t xml:space="preserve">Multiple design standards exist that describe accessibility requirements, as well as supporting policies and frameworks which guide implementation. Those most relevant to the CDR are described here. </w:t>
      </w:r>
    </w:p>
    <w:p w14:paraId="43C0B510"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lang w:val="en-GB"/>
        </w:rPr>
      </w:pPr>
      <w:r w:rsidRPr="00201EA2">
        <w:rPr>
          <w:rFonts w:eastAsia="Times New Roman" w:cstheme="minorHAnsi"/>
          <w:i/>
          <w:snapToGrid w:val="0"/>
          <w:color w:val="DC6900"/>
          <w:sz w:val="26"/>
          <w:szCs w:val="24"/>
          <w:lang w:val="en-GB"/>
        </w:rPr>
        <w:t>Web Accessibility Initiative (WAI)</w:t>
      </w:r>
    </w:p>
    <w:p w14:paraId="52EF0260"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The W3C’s WAI develops the international standards for Accessibility. The WAI works through an agreed process designed to ensure broad community input that encourages consensus development. </w:t>
      </w:r>
    </w:p>
    <w:p w14:paraId="363B0C5F"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WCAG was developed through the W3C WAI process with the intent to provide a single shared standard for web content accessibility that meets the needs of individuals, organizations, and governments internationally.</w:t>
      </w:r>
    </w:p>
    <w:p w14:paraId="125656C8"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WCAG standards have 13 guidelines. The guidelines are organized under 4 principles: P</w:t>
      </w:r>
      <w:r w:rsidRPr="00201EA2">
        <w:rPr>
          <w:rFonts w:eastAsia="Times New Roman" w:cstheme="minorHAnsi"/>
          <w:i/>
          <w:iCs/>
          <w:snapToGrid w:val="0"/>
          <w:sz w:val="20"/>
          <w:szCs w:val="20"/>
        </w:rPr>
        <w:t>erceivable, Operable, Understandable, and Robust</w:t>
      </w:r>
      <w:r w:rsidRPr="00201EA2">
        <w:rPr>
          <w:rFonts w:eastAsia="Times New Roman" w:cstheme="minorHAnsi"/>
          <w:snapToGrid w:val="0"/>
          <w:sz w:val="20"/>
          <w:szCs w:val="20"/>
        </w:rPr>
        <w:t>. For each guideline, there are testable success criteria. The success criteria are at three levels: A, AA, and AAA.</w:t>
      </w:r>
    </w:p>
    <w:p w14:paraId="154BE7F6"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WCAG 2.0 is approved as an ISO standard: ISO/IEC 40500:2012. ISO/IEC 40500 is </w:t>
      </w:r>
      <w:proofErr w:type="gramStart"/>
      <w:r w:rsidRPr="00201EA2">
        <w:rPr>
          <w:rFonts w:eastAsia="Times New Roman" w:cstheme="minorHAnsi"/>
          <w:snapToGrid w:val="0"/>
          <w:sz w:val="20"/>
          <w:szCs w:val="20"/>
        </w:rPr>
        <w:t>exactly the same</w:t>
      </w:r>
      <w:proofErr w:type="gramEnd"/>
      <w:r w:rsidRPr="00201EA2">
        <w:rPr>
          <w:rFonts w:eastAsia="Times New Roman" w:cstheme="minorHAnsi"/>
          <w:snapToGrid w:val="0"/>
          <w:sz w:val="20"/>
          <w:szCs w:val="20"/>
        </w:rPr>
        <w:t xml:space="preserve"> as the original WCAG 2.0. The content of ISO/IEC 40500 is freely available</w:t>
      </w:r>
      <w:r w:rsidRPr="00201EA2">
        <w:rPr>
          <w:rFonts w:eastAsia="Times New Roman" w:cstheme="minorHAnsi"/>
          <w:snapToGrid w:val="0"/>
          <w:sz w:val="21"/>
          <w:szCs w:val="20"/>
          <w:vertAlign w:val="superscript"/>
        </w:rPr>
        <w:footnoteReference w:id="17"/>
      </w:r>
      <w:r w:rsidRPr="00201EA2">
        <w:rPr>
          <w:rFonts w:eastAsia="Times New Roman" w:cstheme="minorHAnsi"/>
          <w:snapToGrid w:val="0"/>
          <w:sz w:val="20"/>
          <w:szCs w:val="20"/>
        </w:rPr>
        <w:t xml:space="preserve"> </w:t>
      </w:r>
    </w:p>
    <w:p w14:paraId="1C0E8FC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WCAG 2.0 and WCAG 2.1 are both existing standards. WCAG 2.1 does not deprecate or supersede WCAG 2.0. The WCAG 2.2 draft is scheduled to be finalized by September 2022. W3C encourages the use of the most recent version of WCAG when developing or updating content or accessibility policies.</w:t>
      </w:r>
    </w:p>
    <w:p w14:paraId="75AE7CBD"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highlight w:val="white"/>
        </w:rPr>
      </w:pPr>
      <w:r w:rsidRPr="00201EA2">
        <w:rPr>
          <w:rFonts w:eastAsia="Times New Roman" w:cstheme="minorHAnsi"/>
          <w:snapToGrid w:val="0"/>
          <w:sz w:val="20"/>
          <w:szCs w:val="20"/>
        </w:rPr>
        <w:t xml:space="preserve">Whilst the W3C’s WCAG is the most widely known and referenced component of the W3C Accessibility Standards, there is also </w:t>
      </w:r>
      <w:hyperlink r:id="rId7">
        <w:r w:rsidRPr="00201EA2">
          <w:rPr>
            <w:rFonts w:eastAsia="Times New Roman" w:cstheme="minorHAnsi"/>
            <w:snapToGrid w:val="0"/>
            <w:sz w:val="20"/>
            <w:szCs w:val="20"/>
            <w:highlight w:val="white"/>
          </w:rPr>
          <w:t>supplemental guidance</w:t>
        </w:r>
      </w:hyperlink>
      <w:r w:rsidRPr="00201EA2">
        <w:rPr>
          <w:rFonts w:eastAsia="Times New Roman" w:cstheme="minorHAnsi"/>
          <w:snapToGrid w:val="0"/>
          <w:sz w:val="20"/>
          <w:szCs w:val="20"/>
        </w:rPr>
        <w:t xml:space="preserve"> and technical specifications on such areas as </w:t>
      </w:r>
      <w:r w:rsidRPr="00201EA2">
        <w:rPr>
          <w:rFonts w:eastAsia="Times New Roman" w:cstheme="minorHAnsi"/>
          <w:snapToGrid w:val="0"/>
          <w:sz w:val="20"/>
          <w:szCs w:val="20"/>
          <w:highlight w:val="white"/>
        </w:rPr>
        <w:t xml:space="preserve">Cognitive </w:t>
      </w:r>
      <w:r w:rsidRPr="00201EA2">
        <w:rPr>
          <w:rFonts w:eastAsia="Times New Roman" w:cstheme="minorHAnsi"/>
          <w:snapToGrid w:val="0"/>
          <w:sz w:val="20"/>
          <w:highlight w:val="white"/>
        </w:rPr>
        <w:t xml:space="preserve">Accessibility Guidance, which is consistent with, and would strengthen, the application of the CDR’s CX Principles: </w:t>
      </w:r>
    </w:p>
    <w:p w14:paraId="41F44862" w14:textId="77777777" w:rsidR="00201EA2" w:rsidRPr="00201EA2" w:rsidRDefault="00201EA2" w:rsidP="00201EA2">
      <w:pPr>
        <w:numPr>
          <w:ilvl w:val="1"/>
          <w:numId w:val="0"/>
        </w:numPr>
        <w:kinsoku w:val="0"/>
        <w:overflowPunct w:val="0"/>
        <w:autoSpaceDE w:val="0"/>
        <w:autoSpaceDN w:val="0"/>
        <w:adjustRightInd w:val="0"/>
        <w:snapToGrid w:val="0"/>
        <w:spacing w:before="100" w:after="100" w:line="240" w:lineRule="auto"/>
        <w:ind w:left="567"/>
        <w:rPr>
          <w:rFonts w:eastAsia="Times New Roman" w:cstheme="minorHAnsi"/>
          <w:snapToGrid w:val="0"/>
          <w:sz w:val="20"/>
          <w:szCs w:val="20"/>
          <w:highlight w:val="white"/>
        </w:rPr>
      </w:pPr>
      <w:r w:rsidRPr="00201EA2">
        <w:rPr>
          <w:rFonts w:eastAsia="Times New Roman" w:cstheme="minorHAnsi"/>
          <w:snapToGrid w:val="0"/>
          <w:sz w:val="20"/>
          <w:szCs w:val="20"/>
          <w:highlight w:val="white"/>
        </w:rPr>
        <w:t xml:space="preserve">Principle 3: The CDR is Comprehensible; and </w:t>
      </w:r>
    </w:p>
    <w:p w14:paraId="5389BCD4" w14:textId="77777777" w:rsidR="00201EA2" w:rsidRPr="00201EA2" w:rsidRDefault="00201EA2" w:rsidP="00201EA2">
      <w:pPr>
        <w:numPr>
          <w:ilvl w:val="1"/>
          <w:numId w:val="0"/>
        </w:numPr>
        <w:kinsoku w:val="0"/>
        <w:overflowPunct w:val="0"/>
        <w:autoSpaceDE w:val="0"/>
        <w:autoSpaceDN w:val="0"/>
        <w:adjustRightInd w:val="0"/>
        <w:snapToGrid w:val="0"/>
        <w:spacing w:before="100" w:after="240" w:line="240" w:lineRule="auto"/>
        <w:ind w:left="567"/>
        <w:rPr>
          <w:rFonts w:eastAsia="Times New Roman" w:cstheme="minorHAnsi"/>
          <w:snapToGrid w:val="0"/>
          <w:sz w:val="20"/>
          <w:szCs w:val="20"/>
        </w:rPr>
      </w:pPr>
      <w:r w:rsidRPr="00201EA2">
        <w:rPr>
          <w:rFonts w:eastAsia="Times New Roman" w:cstheme="minorHAnsi"/>
          <w:snapToGrid w:val="0"/>
          <w:sz w:val="20"/>
          <w:szCs w:val="20"/>
          <w:highlight w:val="white"/>
        </w:rPr>
        <w:t>Principle 4: The CDR is Simple and Empowering.</w:t>
      </w:r>
      <w:r w:rsidRPr="00201EA2">
        <w:rPr>
          <w:rFonts w:eastAsia="Times New Roman" w:cstheme="minorHAnsi"/>
          <w:snapToGrid w:val="0"/>
          <w:sz w:val="20"/>
          <w:szCs w:val="20"/>
        </w:rPr>
        <w:t xml:space="preserve"> </w:t>
      </w:r>
    </w:p>
    <w:p w14:paraId="661DFA10"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b/>
          <w:bCs/>
          <w:snapToGrid w:val="0"/>
          <w:color w:val="DC6900"/>
          <w:sz w:val="20"/>
          <w:szCs w:val="20"/>
        </w:rPr>
      </w:pPr>
      <w:r w:rsidRPr="00201EA2">
        <w:rPr>
          <w:rFonts w:eastAsia="Times New Roman" w:cstheme="minorHAnsi"/>
          <w:snapToGrid w:val="0"/>
          <w:sz w:val="20"/>
          <w:szCs w:val="20"/>
        </w:rPr>
        <w:t xml:space="preserve">Consequently, the Chair, and the DSB, should review the W3C’s guidance </w:t>
      </w:r>
      <w:proofErr w:type="gramStart"/>
      <w:r w:rsidRPr="00201EA2">
        <w:rPr>
          <w:rFonts w:eastAsia="Times New Roman" w:cstheme="minorHAnsi"/>
          <w:snapToGrid w:val="0"/>
          <w:sz w:val="20"/>
          <w:szCs w:val="20"/>
        </w:rPr>
        <w:t>in light of</w:t>
      </w:r>
      <w:proofErr w:type="gramEnd"/>
      <w:r w:rsidRPr="00201EA2">
        <w:rPr>
          <w:rFonts w:eastAsia="Times New Roman" w:cstheme="minorHAnsi"/>
          <w:snapToGrid w:val="0"/>
          <w:sz w:val="20"/>
          <w:szCs w:val="20"/>
        </w:rPr>
        <w:t xml:space="preserve"> their respective obligations.  This review should especially include: Mobile Accessibility</w:t>
      </w:r>
      <w:r w:rsidRPr="00201EA2">
        <w:rPr>
          <w:rFonts w:eastAsia="Times New Roman" w:cstheme="minorHAnsi"/>
          <w:snapToGrid w:val="0"/>
          <w:sz w:val="21"/>
          <w:szCs w:val="20"/>
          <w:vertAlign w:val="superscript"/>
        </w:rPr>
        <w:footnoteReference w:id="18"/>
      </w:r>
      <w:r w:rsidRPr="00201EA2">
        <w:rPr>
          <w:rFonts w:eastAsia="Times New Roman" w:cstheme="minorHAnsi"/>
          <w:snapToGrid w:val="0"/>
          <w:sz w:val="20"/>
          <w:szCs w:val="20"/>
        </w:rPr>
        <w:t>, Cognitive Accessibility,</w:t>
      </w:r>
      <w:r w:rsidRPr="00201EA2">
        <w:rPr>
          <w:rFonts w:eastAsia="Times New Roman" w:cstheme="minorHAnsi"/>
          <w:snapToGrid w:val="0"/>
          <w:sz w:val="21"/>
          <w:szCs w:val="20"/>
          <w:vertAlign w:val="superscript"/>
        </w:rPr>
        <w:footnoteReference w:id="19"/>
      </w:r>
      <w:r w:rsidRPr="00201EA2">
        <w:rPr>
          <w:rFonts w:eastAsia="Times New Roman" w:cstheme="minorHAnsi"/>
          <w:snapToGrid w:val="0"/>
          <w:sz w:val="20"/>
          <w:szCs w:val="20"/>
        </w:rPr>
        <w:t xml:space="preserve"> Personalisation,</w:t>
      </w:r>
      <w:r w:rsidRPr="00201EA2">
        <w:rPr>
          <w:rFonts w:eastAsia="Times New Roman" w:cstheme="minorHAnsi"/>
          <w:snapToGrid w:val="0"/>
          <w:sz w:val="21"/>
          <w:szCs w:val="20"/>
          <w:vertAlign w:val="superscript"/>
        </w:rPr>
        <w:footnoteReference w:id="20"/>
      </w:r>
      <w:r w:rsidRPr="00201EA2">
        <w:rPr>
          <w:rFonts w:eastAsia="Times New Roman" w:cstheme="minorHAnsi"/>
          <w:snapToGrid w:val="0"/>
          <w:sz w:val="20"/>
          <w:szCs w:val="20"/>
        </w:rPr>
        <w:t xml:space="preserve"> and Pronunciation. </w:t>
      </w:r>
      <w:r w:rsidRPr="00201EA2">
        <w:rPr>
          <w:rFonts w:eastAsia="Times New Roman" w:cstheme="minorHAnsi"/>
          <w:snapToGrid w:val="0"/>
          <w:sz w:val="21"/>
          <w:szCs w:val="20"/>
          <w:vertAlign w:val="superscript"/>
        </w:rPr>
        <w:footnoteReference w:id="21"/>
      </w:r>
    </w:p>
    <w:p w14:paraId="270F2AFB"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000000"/>
          <w:sz w:val="26"/>
          <w:szCs w:val="24"/>
        </w:rPr>
      </w:pPr>
      <w:r w:rsidRPr="00201EA2">
        <w:rPr>
          <w:rFonts w:eastAsia="Times New Roman" w:cstheme="minorHAnsi"/>
          <w:i/>
          <w:snapToGrid w:val="0"/>
          <w:color w:val="DC6900"/>
          <w:sz w:val="26"/>
          <w:szCs w:val="24"/>
        </w:rPr>
        <w:t>Australian Government Digital Service Standard (DSS)</w:t>
      </w:r>
    </w:p>
    <w:p w14:paraId="0BF099A2" w14:textId="50D659CF" w:rsidR="00201EA2" w:rsidRPr="00D3314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Digital Transformation Agency (</w:t>
      </w:r>
      <w:r w:rsidRPr="00201EA2">
        <w:rPr>
          <w:rFonts w:eastAsia="Times New Roman" w:cstheme="minorHAnsi"/>
          <w:b/>
          <w:bCs/>
          <w:snapToGrid w:val="0"/>
          <w:sz w:val="20"/>
          <w:szCs w:val="20"/>
        </w:rPr>
        <w:t>DTA</w:t>
      </w:r>
      <w:r w:rsidRPr="00201EA2">
        <w:rPr>
          <w:rFonts w:eastAsia="Times New Roman" w:cstheme="minorHAnsi"/>
          <w:snapToGrid w:val="0"/>
          <w:sz w:val="20"/>
          <w:szCs w:val="20"/>
        </w:rPr>
        <w:t>) outlines the Australian Government commitments to accessibility in their DSS.</w:t>
      </w:r>
      <w:r w:rsidRPr="00201EA2">
        <w:rPr>
          <w:rFonts w:eastAsia="Times New Roman" w:cstheme="minorHAnsi"/>
          <w:snapToGrid w:val="0"/>
          <w:sz w:val="21"/>
          <w:szCs w:val="20"/>
          <w:vertAlign w:val="superscript"/>
        </w:rPr>
        <w:footnoteReference w:id="22"/>
      </w:r>
      <w:r w:rsidRPr="00201EA2">
        <w:rPr>
          <w:rFonts w:eastAsia="Times New Roman" w:cstheme="minorHAnsi"/>
          <w:snapToGrid w:val="0"/>
          <w:sz w:val="20"/>
          <w:szCs w:val="20"/>
        </w:rPr>
        <w:t xml:space="preserve"> </w:t>
      </w:r>
    </w:p>
    <w:p w14:paraId="4A403024" w14:textId="77777777" w:rsidR="008E3164" w:rsidRPr="00201EA2" w:rsidRDefault="008E3164"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p>
    <w:p w14:paraId="2842830A"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b/>
          <w:bCs/>
          <w:i/>
          <w:color w:val="000000"/>
          <w:szCs w:val="48"/>
          <w:lang w:val="en-GB"/>
        </w:rPr>
      </w:pPr>
      <w:r w:rsidRPr="00201EA2">
        <w:rPr>
          <w:rFonts w:eastAsia="Arial" w:cstheme="minorHAnsi"/>
          <w:b/>
          <w:bCs/>
          <w:i/>
          <w:color w:val="000000"/>
          <w:szCs w:val="48"/>
          <w:lang w:val="en-GB"/>
        </w:rPr>
        <w:lastRenderedPageBreak/>
        <w:t>Digital Service Standard 9: Make it accessible</w:t>
      </w:r>
    </w:p>
    <w:p w14:paraId="1AA9F066"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Ensure the service is accessible and inclusive of all users regardless of their ability and environment.</w:t>
      </w:r>
    </w:p>
    <w:p w14:paraId="047843C3"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jc w:val="center"/>
        <w:rPr>
          <w:rFonts w:eastAsia="Arial" w:cstheme="minorHAnsi"/>
          <w:i/>
          <w:color w:val="000000"/>
          <w:szCs w:val="48"/>
          <w:lang w:val="en-GB"/>
        </w:rPr>
      </w:pPr>
      <w:r w:rsidRPr="00201EA2">
        <w:rPr>
          <w:rFonts w:eastAsia="Arial" w:cstheme="minorHAnsi"/>
          <w:i/>
          <w:color w:val="000000"/>
          <w:szCs w:val="48"/>
          <w:lang w:val="en-GB"/>
        </w:rPr>
        <w:t>“You also have a legal requirement to ensure your service is</w:t>
      </w:r>
      <w:r w:rsidRPr="00201EA2">
        <w:rPr>
          <w:rFonts w:eastAsia="Arial" w:cstheme="minorHAnsi"/>
          <w:b/>
          <w:bCs/>
          <w:i/>
          <w:color w:val="000000"/>
          <w:szCs w:val="48"/>
          <w:lang w:val="en-GB"/>
        </w:rPr>
        <w:t xml:space="preserve"> usable</w:t>
      </w:r>
      <w:r w:rsidRPr="00201EA2">
        <w:rPr>
          <w:rFonts w:eastAsia="Arial" w:cstheme="minorHAnsi"/>
          <w:i/>
          <w:color w:val="000000"/>
          <w:szCs w:val="48"/>
          <w:lang w:val="en-GB"/>
        </w:rPr>
        <w:t xml:space="preserve"> and </w:t>
      </w:r>
      <w:r w:rsidRPr="00201EA2">
        <w:rPr>
          <w:rFonts w:eastAsia="Arial" w:cstheme="minorHAnsi"/>
          <w:b/>
          <w:bCs/>
          <w:i/>
          <w:color w:val="000000"/>
          <w:szCs w:val="48"/>
          <w:lang w:val="en-GB"/>
        </w:rPr>
        <w:t>accessible</w:t>
      </w:r>
      <w:r w:rsidRPr="00201EA2">
        <w:rPr>
          <w:rFonts w:eastAsia="Arial" w:cstheme="minorHAnsi"/>
          <w:i/>
          <w:color w:val="000000"/>
          <w:szCs w:val="48"/>
          <w:lang w:val="en-GB"/>
        </w:rPr>
        <w:t xml:space="preserve"> to people with disabilities (see the Disability Discrimination Act 1992). Australian Government agencies are required to meet the Web Content Accessibility Guidelines (WCAG) 2.0 Level AA, which includes Level A (see mandate in Web Accessibility National Transition Strategy). You are strongly encouraged to meet WCAG 2.1 Level AA which will provide a more accessible experience. Conforming to WCAG 2.1 means you also conform with 2.0.” </w:t>
      </w:r>
      <w:r w:rsidRPr="00201EA2">
        <w:rPr>
          <w:rFonts w:eastAsia="Arial" w:cstheme="minorHAnsi"/>
          <w:i/>
          <w:iCs/>
          <w:color w:val="000000"/>
          <w:sz w:val="21"/>
          <w:szCs w:val="48"/>
          <w:vertAlign w:val="superscript"/>
          <w:lang w:val="en-GB"/>
        </w:rPr>
        <w:footnoteReference w:id="23"/>
      </w:r>
    </w:p>
    <w:p w14:paraId="14CC46FD"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The DSS applies to Australian Government services that are: </w:t>
      </w:r>
    </w:p>
    <w:p w14:paraId="7BCC25C2"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201EA2">
        <w:rPr>
          <w:rFonts w:eastAsia="Times New Roman" w:cstheme="minorHAnsi"/>
          <w:snapToGrid w:val="0"/>
          <w:sz w:val="20"/>
          <w:szCs w:val="20"/>
        </w:rPr>
        <w:t>public facing;</w:t>
      </w:r>
    </w:p>
    <w:p w14:paraId="61D1791D"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201EA2">
        <w:rPr>
          <w:rFonts w:eastAsia="Times New Roman" w:cstheme="minorHAnsi"/>
          <w:snapToGrid w:val="0"/>
          <w:sz w:val="20"/>
          <w:szCs w:val="20"/>
        </w:rPr>
        <w:t>owned by non-corporate Commonwealth entities;</w:t>
      </w:r>
    </w:p>
    <w:p w14:paraId="3C202E45"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201EA2">
        <w:rPr>
          <w:rFonts w:eastAsia="Times New Roman" w:cstheme="minorHAnsi"/>
          <w:snapToGrid w:val="0"/>
          <w:sz w:val="20"/>
          <w:szCs w:val="20"/>
        </w:rPr>
        <w:t>new informational or transactional services (designed or redesigned after 6 May 2016); and</w:t>
      </w:r>
    </w:p>
    <w:p w14:paraId="399BD3A6"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201EA2">
        <w:rPr>
          <w:rFonts w:eastAsia="Times New Roman" w:cstheme="minorHAnsi"/>
          <w:snapToGrid w:val="0"/>
          <w:sz w:val="20"/>
          <w:szCs w:val="20"/>
        </w:rPr>
        <w:t>existing high-volume transactional services.</w:t>
      </w:r>
    </w:p>
    <w:p w14:paraId="2A136531"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CDR’s Data Standards are an Australian Government service, and therefore fall under the DSS. The Chair, and the DSB, should satisfy themselves of their requirements to harmonise with the DSS; especially with regards to the Data Standards influencing the DSS.  (See GOLD Design System.)</w:t>
      </w:r>
    </w:p>
    <w:p w14:paraId="451DD321"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000000"/>
          <w:sz w:val="26"/>
          <w:szCs w:val="24"/>
        </w:rPr>
      </w:pPr>
      <w:r w:rsidRPr="00201EA2">
        <w:rPr>
          <w:rFonts w:eastAsia="Times New Roman" w:cstheme="minorHAnsi"/>
          <w:i/>
          <w:snapToGrid w:val="0"/>
          <w:color w:val="DC6900"/>
          <w:sz w:val="26"/>
          <w:szCs w:val="24"/>
        </w:rPr>
        <w:t xml:space="preserve">Australian Standards </w:t>
      </w:r>
    </w:p>
    <w:p w14:paraId="24397A06"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b/>
          <w:bCs/>
          <w:snapToGrid w:val="0"/>
          <w:color w:val="DC6900"/>
          <w:sz w:val="20"/>
          <w:szCs w:val="20"/>
        </w:rPr>
      </w:pPr>
      <w:r w:rsidRPr="00201EA2">
        <w:rPr>
          <w:rFonts w:eastAsia="Times New Roman" w:cstheme="minorHAnsi"/>
          <w:snapToGrid w:val="0"/>
          <w:sz w:val="20"/>
          <w:szCs w:val="20"/>
        </w:rPr>
        <w:t>In 2020 Standards Australia released AS EN 301 549:2020</w:t>
      </w:r>
      <w:r w:rsidRPr="00201EA2">
        <w:rPr>
          <w:rFonts w:eastAsia="Times New Roman" w:cstheme="minorHAnsi"/>
          <w:snapToGrid w:val="0"/>
          <w:sz w:val="21"/>
          <w:szCs w:val="20"/>
          <w:vertAlign w:val="superscript"/>
        </w:rPr>
        <w:footnoteReference w:id="24"/>
      </w:r>
      <w:r w:rsidRPr="00201EA2">
        <w:rPr>
          <w:rFonts w:eastAsia="Times New Roman" w:cstheme="minorHAnsi"/>
          <w:snapToGrid w:val="0"/>
          <w:sz w:val="20"/>
          <w:szCs w:val="20"/>
        </w:rPr>
        <w:t xml:space="preserve">, </w:t>
      </w:r>
      <w:r w:rsidRPr="00201EA2">
        <w:rPr>
          <w:rFonts w:eastAsia="Times New Roman" w:cstheme="minorHAnsi"/>
          <w:i/>
          <w:iCs/>
          <w:snapToGrid w:val="0"/>
          <w:sz w:val="20"/>
          <w:szCs w:val="20"/>
        </w:rPr>
        <w:t>Accessibility requirements for ICT products and services</w:t>
      </w:r>
      <w:r w:rsidRPr="00201EA2">
        <w:rPr>
          <w:rFonts w:eastAsia="Times New Roman" w:cstheme="minorHAnsi"/>
          <w:snapToGrid w:val="0"/>
          <w:sz w:val="20"/>
          <w:szCs w:val="20"/>
        </w:rPr>
        <w:t>. It specifies requirements for information and communications technology to be accessible for people with disabilities. This standard is identical to the European standard of the same name, which is mandatory for European public entities to follow. This standard is harmonised with WCAG.</w:t>
      </w:r>
    </w:p>
    <w:p w14:paraId="4C0AF446"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000000"/>
          <w:sz w:val="26"/>
          <w:szCs w:val="24"/>
        </w:rPr>
      </w:pPr>
      <w:r w:rsidRPr="00201EA2">
        <w:rPr>
          <w:rFonts w:eastAsia="Times New Roman" w:cstheme="minorHAnsi"/>
          <w:i/>
          <w:snapToGrid w:val="0"/>
          <w:color w:val="DC6900"/>
          <w:sz w:val="26"/>
          <w:szCs w:val="24"/>
        </w:rPr>
        <w:t>The Australian Banking Association’s (ABA’s) Accessibility Principles</w:t>
      </w:r>
    </w:p>
    <w:p w14:paraId="5B49EED4"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i/>
          <w:iCs/>
          <w:snapToGrid w:val="0"/>
          <w:color w:val="000000"/>
          <w:sz w:val="20"/>
          <w:szCs w:val="20"/>
        </w:rPr>
        <w:t xml:space="preserve">ABA’s </w:t>
      </w:r>
      <w:r w:rsidRPr="00201EA2">
        <w:rPr>
          <w:rFonts w:eastAsia="Times New Roman" w:cstheme="minorHAnsi"/>
          <w:i/>
          <w:iCs/>
          <w:snapToGrid w:val="0"/>
          <w:sz w:val="20"/>
          <w:szCs w:val="20"/>
        </w:rPr>
        <w:t xml:space="preserve">Accessibility Principles for Banking Services </w:t>
      </w:r>
      <w:r w:rsidRPr="00201EA2">
        <w:rPr>
          <w:rFonts w:eastAsia="Times New Roman" w:cstheme="minorHAnsi"/>
          <w:i/>
          <w:iCs/>
          <w:snapToGrid w:val="0"/>
          <w:sz w:val="21"/>
          <w:szCs w:val="20"/>
          <w:vertAlign w:val="superscript"/>
        </w:rPr>
        <w:footnoteReference w:id="25"/>
      </w:r>
      <w:r w:rsidRPr="00201EA2">
        <w:rPr>
          <w:rFonts w:eastAsia="Times New Roman" w:cstheme="minorHAnsi"/>
          <w:snapToGrid w:val="0"/>
          <w:sz w:val="20"/>
          <w:szCs w:val="20"/>
        </w:rPr>
        <w:t xml:space="preserve"> invokes compliance with an alternate principles-based Accessibility framework: </w:t>
      </w:r>
      <w:proofErr w:type="gramStart"/>
      <w:r w:rsidRPr="00201EA2">
        <w:rPr>
          <w:rFonts w:eastAsia="Times New Roman" w:cstheme="minorHAnsi"/>
          <w:i/>
          <w:iCs/>
          <w:snapToGrid w:val="0"/>
          <w:sz w:val="20"/>
          <w:szCs w:val="20"/>
        </w:rPr>
        <w:t>the</w:t>
      </w:r>
      <w:proofErr w:type="gramEnd"/>
      <w:r w:rsidRPr="00201EA2">
        <w:rPr>
          <w:rFonts w:eastAsia="Times New Roman" w:cstheme="minorHAnsi"/>
          <w:i/>
          <w:iCs/>
          <w:snapToGrid w:val="0"/>
          <w:sz w:val="20"/>
          <w:szCs w:val="20"/>
        </w:rPr>
        <w:t xml:space="preserve"> Principles for Universal Design</w:t>
      </w:r>
      <w:r w:rsidRPr="00201EA2">
        <w:rPr>
          <w:rFonts w:eastAsia="Times New Roman" w:cstheme="minorHAnsi"/>
          <w:snapToGrid w:val="0"/>
          <w:sz w:val="20"/>
          <w:szCs w:val="20"/>
        </w:rPr>
        <w:t xml:space="preserve">. (See </w:t>
      </w:r>
      <w:r w:rsidRPr="00201EA2">
        <w:rPr>
          <w:rFonts w:eastAsia="Times New Roman" w:cstheme="minorHAnsi"/>
          <w:b/>
          <w:bCs/>
          <w:snapToGrid w:val="0"/>
          <w:sz w:val="20"/>
          <w:szCs w:val="20"/>
        </w:rPr>
        <w:t>Appendix 2</w:t>
      </w:r>
      <w:r w:rsidRPr="00201EA2">
        <w:rPr>
          <w:rFonts w:eastAsia="Times New Roman" w:cstheme="minorHAnsi"/>
          <w:snapToGrid w:val="0"/>
          <w:sz w:val="20"/>
          <w:szCs w:val="20"/>
        </w:rPr>
        <w:t xml:space="preserve"> for detail.) The ABA also maintain </w:t>
      </w:r>
      <w:r w:rsidRPr="00201EA2">
        <w:rPr>
          <w:rFonts w:eastAsia="Times New Roman" w:cstheme="minorHAnsi"/>
          <w:i/>
          <w:iCs/>
          <w:snapToGrid w:val="0"/>
          <w:sz w:val="20"/>
          <w:szCs w:val="20"/>
        </w:rPr>
        <w:t xml:space="preserve">Guiding Principles for Accessible Authentication. </w:t>
      </w:r>
      <w:r w:rsidRPr="00201EA2">
        <w:rPr>
          <w:rFonts w:eastAsia="Times New Roman" w:cstheme="minorHAnsi"/>
          <w:i/>
          <w:iCs/>
          <w:snapToGrid w:val="0"/>
          <w:sz w:val="21"/>
          <w:szCs w:val="20"/>
          <w:vertAlign w:val="superscript"/>
        </w:rPr>
        <w:footnoteReference w:id="26"/>
      </w:r>
    </w:p>
    <w:p w14:paraId="713F1D32"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Existing requirements – Energy example</w:t>
      </w:r>
    </w:p>
    <w:p w14:paraId="1D500A4B"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As new sectors and use cases are designated for the CDR, the Chair will need to have regard for the accessibility standards and conventions already required of these participants. For example, in the energy sector, the Australian Energy Regulator (</w:t>
      </w:r>
      <w:r w:rsidRPr="00201EA2">
        <w:rPr>
          <w:rFonts w:eastAsia="Times New Roman" w:cstheme="minorHAnsi"/>
          <w:b/>
          <w:bCs/>
          <w:snapToGrid w:val="0"/>
          <w:sz w:val="20"/>
          <w:szCs w:val="20"/>
        </w:rPr>
        <w:t>AER</w:t>
      </w:r>
      <w:r w:rsidRPr="00201EA2">
        <w:rPr>
          <w:rFonts w:eastAsia="Times New Roman" w:cstheme="minorHAnsi"/>
          <w:snapToGrid w:val="0"/>
          <w:sz w:val="20"/>
          <w:szCs w:val="20"/>
        </w:rPr>
        <w:t>) and Victorian Government Essential Services Commission (</w:t>
      </w:r>
      <w:r w:rsidRPr="00201EA2">
        <w:rPr>
          <w:rFonts w:eastAsia="Times New Roman" w:cstheme="minorHAnsi"/>
          <w:b/>
          <w:bCs/>
          <w:snapToGrid w:val="0"/>
          <w:sz w:val="20"/>
          <w:szCs w:val="20"/>
        </w:rPr>
        <w:t>ESC</w:t>
      </w:r>
      <w:r w:rsidRPr="00201EA2">
        <w:rPr>
          <w:rFonts w:eastAsia="Times New Roman" w:cstheme="minorHAnsi"/>
          <w:snapToGrid w:val="0"/>
          <w:sz w:val="20"/>
          <w:szCs w:val="20"/>
        </w:rPr>
        <w:t xml:space="preserve">) both released Vulnerability Strategies at the end of 2021, which reflects the AER’s second objective to </w:t>
      </w:r>
      <w:r w:rsidRPr="00201EA2">
        <w:rPr>
          <w:rFonts w:eastAsia="Times New Roman" w:cstheme="minorHAnsi"/>
          <w:i/>
          <w:iCs/>
          <w:snapToGrid w:val="0"/>
          <w:sz w:val="20"/>
          <w:szCs w:val="20"/>
        </w:rPr>
        <w:t>“Reduce complexity and enhance accessibility for energy consumers”</w:t>
      </w:r>
      <w:r w:rsidRPr="00201EA2">
        <w:rPr>
          <w:rFonts w:eastAsia="Times New Roman" w:cstheme="minorHAnsi"/>
          <w:snapToGrid w:val="0"/>
          <w:sz w:val="20"/>
          <w:szCs w:val="20"/>
        </w:rPr>
        <w:t xml:space="preserve"> </w:t>
      </w:r>
      <w:r w:rsidRPr="00201EA2">
        <w:rPr>
          <w:rFonts w:eastAsia="Times New Roman" w:cstheme="minorHAnsi"/>
          <w:snapToGrid w:val="0"/>
          <w:sz w:val="21"/>
          <w:szCs w:val="20"/>
          <w:vertAlign w:val="superscript"/>
        </w:rPr>
        <w:footnoteReference w:id="27"/>
      </w:r>
      <w:r w:rsidRPr="00201EA2">
        <w:rPr>
          <w:rFonts w:eastAsia="Times New Roman" w:cstheme="minorHAnsi"/>
          <w:snapToGrid w:val="0"/>
          <w:sz w:val="20"/>
          <w:szCs w:val="20"/>
        </w:rPr>
        <w:t xml:space="preserve"> and the ESC’s second objective to ensure </w:t>
      </w:r>
      <w:r w:rsidRPr="00201EA2">
        <w:rPr>
          <w:rFonts w:eastAsia="Times New Roman" w:cstheme="minorHAnsi"/>
          <w:i/>
          <w:iCs/>
          <w:snapToGrid w:val="0"/>
          <w:sz w:val="20"/>
          <w:szCs w:val="20"/>
        </w:rPr>
        <w:t>“Services we regulate are more responsive, inclusive and accessible.”</w:t>
      </w:r>
      <w:r w:rsidRPr="00201EA2">
        <w:rPr>
          <w:rFonts w:eastAsia="Times New Roman" w:cstheme="minorHAnsi"/>
          <w:snapToGrid w:val="0"/>
          <w:sz w:val="20"/>
          <w:szCs w:val="20"/>
        </w:rPr>
        <w:t xml:space="preserve"> </w:t>
      </w:r>
      <w:r w:rsidRPr="00201EA2">
        <w:rPr>
          <w:rFonts w:eastAsia="Times New Roman" w:cstheme="minorHAnsi"/>
          <w:snapToGrid w:val="0"/>
          <w:sz w:val="21"/>
          <w:szCs w:val="20"/>
          <w:vertAlign w:val="superscript"/>
        </w:rPr>
        <w:footnoteReference w:id="28"/>
      </w:r>
    </w:p>
    <w:p w14:paraId="22A78DEE"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Chair, and the DSB, should compare the requirements for designated CDR sectors – and/or industries involved in designated use cases - against the Accessibility standards they adopt for the CX Data Standards.</w:t>
      </w:r>
    </w:p>
    <w:p w14:paraId="10FC9D29"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lastRenderedPageBreak/>
        <w:t>GOLD Design System</w:t>
      </w:r>
    </w:p>
    <w:p w14:paraId="4625DC20"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GOLD Design System </w:t>
      </w:r>
      <w:r w:rsidRPr="00201EA2">
        <w:rPr>
          <w:rFonts w:eastAsia="Times New Roman" w:cstheme="minorHAnsi"/>
          <w:snapToGrid w:val="0"/>
          <w:sz w:val="21"/>
          <w:szCs w:val="20"/>
          <w:vertAlign w:val="superscript"/>
        </w:rPr>
        <w:footnoteReference w:id="29"/>
      </w:r>
      <w:r w:rsidRPr="00201EA2">
        <w:rPr>
          <w:rFonts w:eastAsia="Times New Roman" w:cstheme="minorHAnsi"/>
          <w:snapToGrid w:val="0"/>
          <w:sz w:val="20"/>
          <w:szCs w:val="20"/>
        </w:rPr>
        <w:t xml:space="preserve"> provides a framework and a set of tools to help designers and developers build Australian Government products and services more easily. The system incorporates the usability and accessibility standards aligned with the Digital Transformation Agency (</w:t>
      </w:r>
      <w:r w:rsidRPr="00201EA2">
        <w:rPr>
          <w:rFonts w:eastAsia="Times New Roman" w:cstheme="minorHAnsi"/>
          <w:b/>
          <w:bCs/>
          <w:snapToGrid w:val="0"/>
          <w:sz w:val="20"/>
          <w:szCs w:val="20"/>
        </w:rPr>
        <w:t>DTA</w:t>
      </w:r>
      <w:r w:rsidRPr="00201EA2">
        <w:rPr>
          <w:rFonts w:eastAsia="Times New Roman" w:cstheme="minorHAnsi"/>
          <w:snapToGrid w:val="0"/>
          <w:sz w:val="20"/>
          <w:szCs w:val="20"/>
        </w:rPr>
        <w:t>)’s Digital Service Standard (</w:t>
      </w:r>
      <w:r w:rsidRPr="00201EA2">
        <w:rPr>
          <w:rFonts w:eastAsia="Times New Roman" w:cstheme="minorHAnsi"/>
          <w:b/>
          <w:bCs/>
          <w:snapToGrid w:val="0"/>
          <w:sz w:val="20"/>
          <w:szCs w:val="20"/>
        </w:rPr>
        <w:t>DSS)</w:t>
      </w:r>
      <w:r w:rsidRPr="00201EA2">
        <w:rPr>
          <w:rFonts w:eastAsia="Times New Roman" w:cstheme="minorHAnsi"/>
          <w:b/>
          <w:bCs/>
          <w:snapToGrid w:val="0"/>
          <w:sz w:val="21"/>
          <w:szCs w:val="20"/>
          <w:vertAlign w:val="superscript"/>
        </w:rPr>
        <w:footnoteReference w:id="30"/>
      </w:r>
      <w:r w:rsidRPr="00201EA2">
        <w:rPr>
          <w:rFonts w:eastAsia="Times New Roman" w:cstheme="minorHAnsi"/>
          <w:snapToGrid w:val="0"/>
          <w:sz w:val="20"/>
          <w:szCs w:val="20"/>
        </w:rPr>
        <w:t xml:space="preserve">. Originally developed by the DTA it is now supported by an open-source community (Design System Au). </w:t>
      </w:r>
      <w:r w:rsidRPr="00201EA2">
        <w:rPr>
          <w:rFonts w:eastAsia="Times New Roman" w:cstheme="minorHAnsi"/>
          <w:snapToGrid w:val="0"/>
          <w:sz w:val="21"/>
          <w:szCs w:val="20"/>
          <w:vertAlign w:val="superscript"/>
        </w:rPr>
        <w:footnoteReference w:id="31"/>
      </w:r>
      <w:r w:rsidRPr="00201EA2">
        <w:rPr>
          <w:rFonts w:eastAsia="Times New Roman" w:cstheme="minorHAnsi"/>
          <w:snapToGrid w:val="0"/>
          <w:sz w:val="20"/>
          <w:szCs w:val="20"/>
        </w:rPr>
        <w:t xml:space="preserve">  </w:t>
      </w:r>
    </w:p>
    <w:p w14:paraId="357A943D"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GOLD Design System</w:t>
      </w:r>
      <w:r w:rsidRPr="00201EA2">
        <w:rPr>
          <w:rFonts w:eastAsia="Times New Roman" w:cstheme="minorHAnsi"/>
          <w:snapToGrid w:val="0"/>
          <w:sz w:val="21"/>
          <w:szCs w:val="20"/>
          <w:vertAlign w:val="superscript"/>
        </w:rPr>
        <w:footnoteReference w:id="32"/>
      </w:r>
      <w:r w:rsidRPr="00201EA2">
        <w:rPr>
          <w:rFonts w:eastAsia="Times New Roman" w:cstheme="minorHAnsi"/>
          <w:snapToGrid w:val="0"/>
          <w:sz w:val="20"/>
          <w:szCs w:val="20"/>
        </w:rPr>
        <w:t xml:space="preserve"> has been used to develop the CX </w:t>
      </w:r>
      <w:proofErr w:type="gramStart"/>
      <w:r w:rsidRPr="00201EA2">
        <w:rPr>
          <w:rFonts w:eastAsia="Times New Roman" w:cstheme="minorHAnsi"/>
          <w:snapToGrid w:val="0"/>
          <w:sz w:val="20"/>
          <w:szCs w:val="20"/>
        </w:rPr>
        <w:t>Guidelines, and</w:t>
      </w:r>
      <w:proofErr w:type="gramEnd"/>
      <w:r w:rsidRPr="00201EA2">
        <w:rPr>
          <w:rFonts w:eastAsia="Times New Roman" w:cstheme="minorHAnsi"/>
          <w:snapToGrid w:val="0"/>
          <w:sz w:val="20"/>
          <w:szCs w:val="20"/>
        </w:rPr>
        <w:t xml:space="preserve"> incorporates the Usability and Accessibility standards in alignment with the Digital Transformation Agency (DTA)’s Digital Service Standard (</w:t>
      </w:r>
      <w:r w:rsidRPr="00201EA2">
        <w:rPr>
          <w:rFonts w:eastAsia="Times New Roman" w:cstheme="minorHAnsi"/>
          <w:b/>
          <w:bCs/>
          <w:snapToGrid w:val="0"/>
          <w:sz w:val="20"/>
          <w:szCs w:val="20"/>
        </w:rPr>
        <w:t>DSS</w:t>
      </w:r>
      <w:r w:rsidRPr="00201EA2">
        <w:rPr>
          <w:rFonts w:eastAsia="Times New Roman" w:cstheme="minorHAnsi"/>
          <w:snapToGrid w:val="0"/>
          <w:sz w:val="20"/>
          <w:szCs w:val="20"/>
        </w:rPr>
        <w:t>). This system, however, does not fully support the functionality sought for the CDR, and reflected in the CX Guidelines. This means that certain portions of the CX Guidelines are not supported by the framework, and/or set of tools, that would have otherwise assisted and guided designers and developers with implementing them.</w:t>
      </w:r>
    </w:p>
    <w:p w14:paraId="3A95AF1E"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It is unlikely that the GOLD Design System will develop the components required to support the CX Guidelines, and related CDR implementations. The Chair should consider addressing divergence from GOLD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support delivering a more accessible CDR consent model. Options may exist to support the evolution of the GOLD Design System to incorporate divergences necessary for CDR, and other consent models more broadly. This could include participation by the DSB in the GOLD Design System, or the acquisition of the GOLD system by the Chair or DSB. While the active participation of the DSB in the Design System Au community may be valuable, however, it may also result in the DSB taking on responsibilities for GOLD Design System components that are not related to data sharing and consent models. </w:t>
      </w:r>
    </w:p>
    <w:p w14:paraId="1B6BEC44"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A more compelling option may be for the Chair to consider an independent Data Standards Design System. </w:t>
      </w:r>
      <w:proofErr w:type="gramStart"/>
      <w:r w:rsidRPr="00201EA2">
        <w:rPr>
          <w:rFonts w:eastAsia="Times New Roman" w:cstheme="minorHAnsi"/>
          <w:snapToGrid w:val="0"/>
          <w:sz w:val="20"/>
          <w:szCs w:val="20"/>
        </w:rPr>
        <w:t>Similar to</w:t>
      </w:r>
      <w:proofErr w:type="gramEnd"/>
      <w:r w:rsidRPr="00201EA2">
        <w:rPr>
          <w:rFonts w:eastAsia="Times New Roman" w:cstheme="minorHAnsi"/>
          <w:snapToGrid w:val="0"/>
          <w:sz w:val="20"/>
          <w:szCs w:val="20"/>
        </w:rPr>
        <w:t xml:space="preserve"> the approach taken in the Data Standards, which makes reference to external standards such as FAPI and WCAG, a Data Standards Design System could be specifically developed for the purpose of supporting consent models while also incorporating external standards and patterns, such as the GOLD Design System. This approach could maintain consistency with the GOLD Design System where appropriate, while maintaining the flexibility to refer to other standards and components where preferable. </w:t>
      </w:r>
    </w:p>
    <w:p w14:paraId="1653A26E"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An independent Data Standards Design System could have applications beyond the CDR, and, as suggested in the </w:t>
      </w:r>
      <w:r w:rsidRPr="00201EA2">
        <w:rPr>
          <w:rFonts w:eastAsia="Times New Roman" w:cstheme="minorHAnsi"/>
          <w:i/>
          <w:iCs/>
          <w:snapToGrid w:val="0"/>
          <w:sz w:val="20"/>
          <w:szCs w:val="20"/>
        </w:rPr>
        <w:t>Inquiry into Future Directions for the CDR</w:t>
      </w:r>
      <w:r w:rsidRPr="00201EA2">
        <w:rPr>
          <w:rFonts w:eastAsia="Times New Roman" w:cstheme="minorHAnsi"/>
          <w:snapToGrid w:val="0"/>
          <w:sz w:val="20"/>
          <w:szCs w:val="20"/>
        </w:rPr>
        <w:t xml:space="preserve"> (see pp.188-191)</w:t>
      </w:r>
      <w:r w:rsidRPr="00201EA2">
        <w:rPr>
          <w:rFonts w:eastAsia="Times New Roman" w:cstheme="minorHAnsi"/>
          <w:snapToGrid w:val="0"/>
          <w:sz w:val="21"/>
          <w:szCs w:val="20"/>
          <w:vertAlign w:val="superscript"/>
        </w:rPr>
        <w:footnoteReference w:id="33"/>
      </w:r>
      <w:r w:rsidRPr="00201EA2">
        <w:rPr>
          <w:rFonts w:eastAsia="Times New Roman" w:cstheme="minorHAnsi"/>
          <w:snapToGrid w:val="0"/>
          <w:sz w:val="20"/>
          <w:szCs w:val="20"/>
        </w:rPr>
        <w:t>, could support consistent data sharing methods across the economy.</w:t>
      </w:r>
    </w:p>
    <w:p w14:paraId="65D10EF7"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p>
    <w:p w14:paraId="5BF50355" w14:textId="53F1E4DA" w:rsidR="00201EA2" w:rsidRPr="00D33142" w:rsidRDefault="00201EA2">
      <w:pPr>
        <w:rPr>
          <w:rFonts w:cstheme="minorHAnsi"/>
          <w:sz w:val="20"/>
          <w:szCs w:val="20"/>
        </w:rPr>
      </w:pPr>
      <w:r w:rsidRPr="00D33142">
        <w:rPr>
          <w:rFonts w:cstheme="minorHAnsi"/>
          <w:sz w:val="20"/>
          <w:szCs w:val="20"/>
        </w:rPr>
        <w:br w:type="page"/>
      </w:r>
    </w:p>
    <w:p w14:paraId="33933F0B" w14:textId="18E22222" w:rsidR="00201EA2" w:rsidRPr="00201EA2" w:rsidRDefault="00201EA2" w:rsidP="00201EA2">
      <w:pPr>
        <w:keepNext/>
        <w:keepLines/>
        <w:pageBreakBefore/>
        <w:kinsoku w:val="0"/>
        <w:overflowPunct w:val="0"/>
        <w:autoSpaceDE w:val="0"/>
        <w:autoSpaceDN w:val="0"/>
        <w:adjustRightInd w:val="0"/>
        <w:snapToGrid w:val="0"/>
        <w:spacing w:after="480" w:line="600" w:lineRule="atLeast"/>
        <w:outlineLvl w:val="1"/>
        <w:rPr>
          <w:rFonts w:eastAsia="Times New Roman" w:cstheme="minorHAnsi"/>
          <w:b/>
          <w:bCs/>
          <w:i/>
          <w:iCs/>
          <w:snapToGrid w:val="0"/>
          <w:color w:val="DC6900"/>
          <w:sz w:val="44"/>
          <w:szCs w:val="36"/>
          <w:lang w:val="en-GB"/>
        </w:rPr>
      </w:pPr>
      <w:bookmarkStart w:id="7" w:name="_Toc107563066"/>
      <w:r w:rsidRPr="00201EA2">
        <w:rPr>
          <w:rFonts w:eastAsia="Times New Roman" w:cstheme="minorHAnsi"/>
          <w:b/>
          <w:bCs/>
          <w:i/>
          <w:iCs/>
          <w:snapToGrid w:val="0"/>
          <w:color w:val="DC6900"/>
          <w:sz w:val="44"/>
          <w:szCs w:val="36"/>
          <w:lang w:val="en-GB"/>
        </w:rPr>
        <w:lastRenderedPageBreak/>
        <w:t>Future directions and requirements in accessibility</w:t>
      </w:r>
      <w:bookmarkEnd w:id="7"/>
    </w:p>
    <w:p w14:paraId="32E64AB6"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Compliance requires constant monitoring as obligations will change over time</w:t>
      </w:r>
    </w:p>
    <w:p w14:paraId="47CCE70F"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As with most international standards, accessibility standards evolve over time. Changes in web standards have and will continue to place additional requirements of what constitutes </w:t>
      </w: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As with previous changes in web standards this will lead to changes in obligations.</w:t>
      </w:r>
    </w:p>
    <w:p w14:paraId="1AC8F41B" w14:textId="77777777" w:rsidR="00201EA2" w:rsidRPr="00201EA2" w:rsidRDefault="00201EA2" w:rsidP="00201EA2">
      <w:pPr>
        <w:kinsoku w:val="0"/>
        <w:overflowPunct w:val="0"/>
        <w:autoSpaceDE w:val="0"/>
        <w:autoSpaceDN w:val="0"/>
        <w:adjustRightInd w:val="0"/>
        <w:snapToGrid w:val="0"/>
        <w:spacing w:after="240" w:line="276" w:lineRule="auto"/>
        <w:rPr>
          <w:rFonts w:eastAsia="Noto Sans" w:cstheme="minorHAnsi"/>
          <w:snapToGrid w:val="0"/>
          <w:color w:val="1D1D1D"/>
          <w:sz w:val="20"/>
          <w:szCs w:val="20"/>
          <w:lang w:val="en-GB"/>
        </w:rPr>
      </w:pPr>
      <w:r w:rsidRPr="00201EA2">
        <w:rPr>
          <w:rFonts w:eastAsia="Times New Roman" w:cstheme="minorHAnsi"/>
          <w:snapToGrid w:val="0"/>
          <w:sz w:val="20"/>
          <w:szCs w:val="20"/>
        </w:rPr>
        <w:t>Changes in standards are driven by:</w:t>
      </w:r>
    </w:p>
    <w:p w14:paraId="2A49787E"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 xml:space="preserve">The W3C commitment to ongoing improvements in accessible experiences for people with disabilities; and </w:t>
      </w:r>
    </w:p>
    <w:p w14:paraId="5FA03497"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A need to respond to new information types and ways of interacting with internet connected technologies.</w:t>
      </w:r>
    </w:p>
    <w:p w14:paraId="200E7540"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Outlined below are three key changes in accessibility requirements relevant to the Chair, and the DSB:</w:t>
      </w:r>
    </w:p>
    <w:p w14:paraId="65B4DD68" w14:textId="77777777" w:rsidR="00201EA2" w:rsidRPr="00201EA2" w:rsidRDefault="00201EA2" w:rsidP="00201EA2">
      <w:pPr>
        <w:keepNext/>
        <w:keepLines/>
        <w:kinsoku w:val="0"/>
        <w:overflowPunct w:val="0"/>
        <w:autoSpaceDE w:val="0"/>
        <w:autoSpaceDN w:val="0"/>
        <w:adjustRightInd w:val="0"/>
        <w:snapToGrid w:val="0"/>
        <w:spacing w:before="240" w:after="40" w:line="240" w:lineRule="auto"/>
        <w:rPr>
          <w:rFonts w:eastAsia="Times New Roman" w:cstheme="minorHAnsi"/>
          <w:b/>
          <w:i/>
          <w:snapToGrid w:val="0"/>
          <w:color w:val="DC6900"/>
          <w:sz w:val="28"/>
          <w:szCs w:val="24"/>
        </w:rPr>
      </w:pPr>
      <w:r w:rsidRPr="00201EA2">
        <w:rPr>
          <w:rFonts w:eastAsia="Times New Roman" w:cstheme="minorHAnsi"/>
          <w:b/>
          <w:i/>
          <w:snapToGrid w:val="0"/>
          <w:color w:val="DC6900"/>
          <w:sz w:val="28"/>
          <w:szCs w:val="24"/>
        </w:rPr>
        <w:t xml:space="preserve">Immediate horizon change: WCAG 2.2 </w:t>
      </w:r>
    </w:p>
    <w:p w14:paraId="669ED1B8"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b/>
          <w:bCs/>
          <w:snapToGrid w:val="0"/>
          <w:sz w:val="20"/>
          <w:szCs w:val="20"/>
        </w:rPr>
      </w:pPr>
      <w:r w:rsidRPr="00201EA2">
        <w:rPr>
          <w:rFonts w:eastAsia="Times New Roman" w:cstheme="minorHAnsi"/>
          <w:snapToGrid w:val="0"/>
          <w:sz w:val="20"/>
          <w:szCs w:val="20"/>
        </w:rPr>
        <w:t>The W3C’s upcoming release of WCAG 2.2 in September 2022 will incorporate 9 additional success criteria</w:t>
      </w:r>
      <w:r w:rsidRPr="00201EA2">
        <w:rPr>
          <w:rFonts w:eastAsia="Times New Roman" w:cstheme="minorHAnsi"/>
          <w:snapToGrid w:val="0"/>
          <w:sz w:val="21"/>
          <w:szCs w:val="20"/>
          <w:vertAlign w:val="superscript"/>
        </w:rPr>
        <w:footnoteReference w:id="34"/>
      </w:r>
      <w:r w:rsidRPr="00201EA2">
        <w:rPr>
          <w:rFonts w:eastAsia="Times New Roman" w:cstheme="minorHAnsi"/>
          <w:snapToGrid w:val="0"/>
          <w:sz w:val="20"/>
          <w:szCs w:val="20"/>
        </w:rPr>
        <w:t xml:space="preserve"> to what is currently included in WCAG 2.1. The additional criteria raise the minimum requirements of what constitutes </w:t>
      </w:r>
      <w:r w:rsidRPr="00201EA2">
        <w:rPr>
          <w:rFonts w:eastAsia="Times New Roman" w:cstheme="minorHAnsi"/>
          <w:i/>
          <w:iCs/>
          <w:snapToGrid w:val="0"/>
          <w:sz w:val="20"/>
          <w:szCs w:val="20"/>
        </w:rPr>
        <w:t>equal access of use</w:t>
      </w:r>
      <w:r w:rsidRPr="00201EA2">
        <w:rPr>
          <w:rFonts w:eastAsia="Times New Roman" w:cstheme="minorHAnsi"/>
          <w:snapToGrid w:val="0"/>
          <w:sz w:val="20"/>
          <w:szCs w:val="20"/>
        </w:rPr>
        <w:t xml:space="preserve">.  </w:t>
      </w:r>
    </w:p>
    <w:p w14:paraId="75E0721B"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rPr>
          <w:rFonts w:eastAsia="Arial" w:cstheme="minorHAnsi"/>
          <w:b/>
          <w:bCs/>
          <w:i/>
          <w:color w:val="000000"/>
          <w:szCs w:val="48"/>
          <w:lang w:val="en-GB"/>
        </w:rPr>
      </w:pPr>
      <w:r w:rsidRPr="00201EA2">
        <w:rPr>
          <w:rFonts w:eastAsia="Arial" w:cstheme="minorHAnsi"/>
          <w:b/>
          <w:bCs/>
          <w:i/>
          <w:color w:val="000000"/>
          <w:szCs w:val="48"/>
          <w:lang w:val="en-GB"/>
        </w:rPr>
        <w:t>WCAG 2.2 Success Criterion 3.3.7: Accessible Authentication (Level A)</w:t>
      </w:r>
    </w:p>
    <w:p w14:paraId="3E867616"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rPr>
          <w:rFonts w:eastAsia="Arial" w:cstheme="minorHAnsi"/>
          <w:i/>
          <w:color w:val="000000"/>
          <w:szCs w:val="48"/>
          <w:lang w:val="en-GB"/>
        </w:rPr>
      </w:pPr>
      <w:r w:rsidRPr="00201EA2">
        <w:rPr>
          <w:rFonts w:eastAsia="Arial" w:cstheme="minorHAnsi"/>
          <w:i/>
          <w:color w:val="000000"/>
          <w:szCs w:val="48"/>
          <w:lang w:val="en-GB"/>
        </w:rPr>
        <w:t xml:space="preserve">“For each step in an authentication process that relies on a cognitive function test, at least one other authentication method is available that does not rely on a cognitive function test, or a mechanism is available to assist the user in completing the cognitive function test. </w:t>
      </w:r>
    </w:p>
    <w:p w14:paraId="476D02A2"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rPr>
          <w:rFonts w:eastAsia="Arial" w:cstheme="minorHAnsi"/>
          <w:i/>
          <w:color w:val="000000"/>
          <w:szCs w:val="48"/>
          <w:lang w:val="en-GB"/>
        </w:rPr>
      </w:pPr>
      <w:r w:rsidRPr="00201EA2">
        <w:rPr>
          <w:rFonts w:eastAsia="Arial" w:cstheme="minorHAnsi"/>
          <w:i/>
          <w:color w:val="000000"/>
          <w:szCs w:val="48"/>
          <w:lang w:val="en-GB"/>
        </w:rPr>
        <w:t xml:space="preserve">Examples of mechanisms include: </w:t>
      </w:r>
    </w:p>
    <w:p w14:paraId="3C0AD61F"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rPr>
          <w:rFonts w:eastAsia="Arial" w:cstheme="minorHAnsi"/>
          <w:i/>
          <w:color w:val="000000"/>
          <w:szCs w:val="48"/>
          <w:lang w:val="en-GB"/>
        </w:rPr>
      </w:pPr>
      <w:r w:rsidRPr="00201EA2">
        <w:rPr>
          <w:rFonts w:eastAsia="Arial" w:cstheme="minorHAnsi"/>
          <w:i/>
          <w:color w:val="000000"/>
          <w:szCs w:val="48"/>
          <w:lang w:val="en-GB"/>
        </w:rPr>
        <w:t xml:space="preserve">1) support for password entry by password managers to address the memorization cognitive function test, and </w:t>
      </w:r>
    </w:p>
    <w:p w14:paraId="06C531DE" w14:textId="77777777" w:rsidR="00201EA2" w:rsidRPr="00201EA2" w:rsidRDefault="00201EA2" w:rsidP="00201EA2">
      <w:pPr>
        <w:pBdr>
          <w:top w:val="single" w:sz="2" w:space="10" w:color="FFC28B"/>
          <w:left w:val="single" w:sz="2" w:space="10" w:color="FFC28B"/>
          <w:bottom w:val="single" w:sz="2" w:space="10" w:color="FFC28B"/>
          <w:right w:val="single" w:sz="2" w:space="10" w:color="FFC28B"/>
        </w:pBdr>
        <w:shd w:val="clear" w:color="auto" w:fill="FFC28B"/>
        <w:spacing w:after="240" w:line="240" w:lineRule="auto"/>
        <w:ind w:left="227" w:right="227"/>
        <w:rPr>
          <w:rFonts w:eastAsia="Arial" w:cstheme="minorHAnsi"/>
          <w:i/>
          <w:color w:val="000000"/>
          <w:szCs w:val="48"/>
          <w:lang w:val="en-GB"/>
        </w:rPr>
      </w:pPr>
      <w:r w:rsidRPr="00201EA2">
        <w:rPr>
          <w:rFonts w:eastAsia="Arial" w:cstheme="minorHAnsi"/>
          <w:i/>
          <w:color w:val="000000"/>
          <w:szCs w:val="48"/>
          <w:lang w:val="en-GB"/>
        </w:rPr>
        <w:t>2) copy and paste to help address transcription cognitive function test.”</w:t>
      </w:r>
    </w:p>
    <w:p w14:paraId="5616B384"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Both the European and Australian Standards bodies have already advised of plans to update EN 301 549 to reflect the additional success criteria of WCAG 2.2. Similarly, the AHRC has communicated that its advice on web accessibility is out of date and has commenced initiatives to update their advice. An update in AHRC advice would in turn trigger an update by agencies that rely on that advice, such as DTA, and their DSS.</w:t>
      </w:r>
    </w:p>
    <w:p w14:paraId="3FF1ACB0" w14:textId="77777777" w:rsidR="00201EA2" w:rsidRPr="00201EA2" w:rsidRDefault="00201EA2" w:rsidP="00201EA2">
      <w:pPr>
        <w:keepNext/>
        <w:keepLines/>
        <w:kinsoku w:val="0"/>
        <w:overflowPunct w:val="0"/>
        <w:autoSpaceDE w:val="0"/>
        <w:autoSpaceDN w:val="0"/>
        <w:adjustRightInd w:val="0"/>
        <w:snapToGrid w:val="0"/>
        <w:spacing w:before="240" w:after="40" w:line="240" w:lineRule="auto"/>
        <w:rPr>
          <w:rFonts w:eastAsia="Times New Roman" w:cstheme="minorHAnsi"/>
          <w:b/>
          <w:i/>
          <w:snapToGrid w:val="0"/>
          <w:color w:val="DC6900"/>
          <w:sz w:val="28"/>
          <w:szCs w:val="24"/>
        </w:rPr>
      </w:pPr>
      <w:r w:rsidRPr="00201EA2">
        <w:rPr>
          <w:rFonts w:eastAsia="Times New Roman" w:cstheme="minorHAnsi"/>
          <w:b/>
          <w:i/>
          <w:snapToGrid w:val="0"/>
          <w:color w:val="DC6900"/>
          <w:sz w:val="28"/>
          <w:szCs w:val="24"/>
        </w:rPr>
        <w:t>Near horizon change: Personalisation Standards</w:t>
      </w:r>
    </w:p>
    <w:p w14:paraId="357ABEB2"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W3C’s draft technical specifications on personalisation</w:t>
      </w:r>
      <w:r w:rsidRPr="00201EA2">
        <w:rPr>
          <w:rFonts w:eastAsia="Times New Roman" w:cstheme="minorHAnsi"/>
          <w:snapToGrid w:val="0"/>
          <w:sz w:val="21"/>
          <w:szCs w:val="20"/>
          <w:vertAlign w:val="superscript"/>
        </w:rPr>
        <w:footnoteReference w:id="35"/>
      </w:r>
      <w:r w:rsidRPr="00201EA2">
        <w:rPr>
          <w:rFonts w:eastAsia="Times New Roman" w:cstheme="minorHAnsi"/>
          <w:snapToGrid w:val="0"/>
          <w:sz w:val="20"/>
          <w:szCs w:val="20"/>
        </w:rPr>
        <w:t xml:space="preserve"> provides the semantic structure,</w:t>
      </w:r>
      <w:r w:rsidRPr="00201EA2">
        <w:rPr>
          <w:rFonts w:eastAsia="Times New Roman" w:cstheme="minorHAnsi"/>
          <w:snapToGrid w:val="0"/>
          <w:sz w:val="21"/>
          <w:szCs w:val="20"/>
          <w:vertAlign w:val="superscript"/>
        </w:rPr>
        <w:footnoteReference w:id="36"/>
      </w:r>
      <w:r w:rsidRPr="00201EA2">
        <w:rPr>
          <w:rFonts w:eastAsia="Times New Roman" w:cstheme="minorHAnsi"/>
          <w:snapToGrid w:val="0"/>
          <w:sz w:val="20"/>
          <w:szCs w:val="20"/>
        </w:rPr>
        <w:t xml:space="preserve"> vocab,</w:t>
      </w:r>
      <w:r w:rsidRPr="00201EA2">
        <w:rPr>
          <w:rFonts w:eastAsia="Times New Roman" w:cstheme="minorHAnsi"/>
          <w:snapToGrid w:val="0"/>
          <w:sz w:val="21"/>
          <w:szCs w:val="20"/>
          <w:vertAlign w:val="superscript"/>
        </w:rPr>
        <w:footnoteReference w:id="37"/>
      </w:r>
      <w:r w:rsidRPr="00201EA2">
        <w:rPr>
          <w:rFonts w:eastAsia="Times New Roman" w:cstheme="minorHAnsi"/>
          <w:snapToGrid w:val="0"/>
          <w:sz w:val="20"/>
          <w:szCs w:val="20"/>
        </w:rPr>
        <w:t xml:space="preserve"> and syntax </w:t>
      </w:r>
      <w:r w:rsidRPr="00201EA2">
        <w:rPr>
          <w:rFonts w:eastAsia="Times New Roman" w:cstheme="minorHAnsi"/>
          <w:snapToGrid w:val="0"/>
          <w:sz w:val="21"/>
          <w:szCs w:val="20"/>
          <w:vertAlign w:val="superscript"/>
        </w:rPr>
        <w:footnoteReference w:id="38"/>
      </w:r>
      <w:r w:rsidRPr="00201EA2">
        <w:rPr>
          <w:rFonts w:eastAsia="Times New Roman" w:cstheme="minorHAnsi"/>
          <w:snapToGrid w:val="0"/>
          <w:sz w:val="20"/>
          <w:szCs w:val="20"/>
        </w:rPr>
        <w:t xml:space="preserve"> for the personalisation interactions with web content. Such personalisation would improve the usability of the information and service, lower cognitive-load and strengthen consent.</w:t>
      </w:r>
    </w:p>
    <w:p w14:paraId="40F27593"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lastRenderedPageBreak/>
        <w:t xml:space="preserve">These personalisation standards allow users to change how numeric information is represented, and/or change text to symbols. For example, people who have difficulty understanding numbers (“dyscalculia”) could chose to have a temperature of 5°C replaced with a picture of a person wearing a hat, scarf, and mittens, and the text “very cold”.  As another example, people with severe language impairment who cannot read text, could choose to use symbols to represent content. </w:t>
      </w:r>
    </w:p>
    <w:p w14:paraId="30956A1C"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b/>
          <w:bCs/>
          <w:snapToGrid w:val="0"/>
          <w:sz w:val="20"/>
          <w:szCs w:val="20"/>
        </w:rPr>
      </w:pPr>
      <w:r w:rsidRPr="00201EA2">
        <w:rPr>
          <w:rFonts w:eastAsia="Times New Roman" w:cstheme="minorHAnsi"/>
          <w:snapToGrid w:val="0"/>
          <w:sz w:val="20"/>
          <w:szCs w:val="20"/>
        </w:rPr>
        <w:t>If the CDR’s current Data Language Standards employed personalisation, for example by providing meaningful pictures and/or descriptive text on the consent screen, then the Accessibility, Usability, and Inclusivity of this consent would be improved.</w:t>
      </w:r>
    </w:p>
    <w:p w14:paraId="6F14889D" w14:textId="77777777" w:rsidR="00201EA2" w:rsidRPr="00201EA2" w:rsidRDefault="00201EA2" w:rsidP="00201EA2">
      <w:pPr>
        <w:keepNext/>
        <w:keepLines/>
        <w:kinsoku w:val="0"/>
        <w:overflowPunct w:val="0"/>
        <w:autoSpaceDE w:val="0"/>
        <w:autoSpaceDN w:val="0"/>
        <w:adjustRightInd w:val="0"/>
        <w:snapToGrid w:val="0"/>
        <w:spacing w:before="240" w:after="40" w:line="240" w:lineRule="auto"/>
        <w:rPr>
          <w:rFonts w:eastAsia="Times New Roman" w:cstheme="minorHAnsi"/>
          <w:b/>
          <w:i/>
          <w:snapToGrid w:val="0"/>
          <w:color w:val="DC6900"/>
          <w:sz w:val="28"/>
          <w:szCs w:val="24"/>
        </w:rPr>
      </w:pPr>
      <w:r w:rsidRPr="00201EA2">
        <w:rPr>
          <w:rFonts w:eastAsia="Times New Roman" w:cstheme="minorHAnsi"/>
          <w:b/>
          <w:i/>
          <w:snapToGrid w:val="0"/>
          <w:color w:val="DC6900"/>
          <w:sz w:val="28"/>
          <w:szCs w:val="24"/>
        </w:rPr>
        <w:t>Longer-term horizon change: WCAG 3</w:t>
      </w:r>
      <w:r w:rsidRPr="00201EA2">
        <w:rPr>
          <w:rFonts w:eastAsia="Times New Roman" w:cstheme="minorHAnsi"/>
          <w:b/>
          <w:i/>
          <w:snapToGrid w:val="0"/>
          <w:color w:val="DC6900"/>
          <w:sz w:val="28"/>
          <w:szCs w:val="32"/>
        </w:rPr>
        <w:t xml:space="preserve"> </w:t>
      </w:r>
    </w:p>
    <w:p w14:paraId="01C9E414"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W3C has commenced work on the successor to WCAG 2.2 to be known as W3C Accessibility Guidelines 3.0 (</w:t>
      </w:r>
      <w:r w:rsidRPr="00201EA2">
        <w:rPr>
          <w:rFonts w:eastAsia="Times New Roman" w:cstheme="minorHAnsi"/>
          <w:b/>
          <w:bCs/>
          <w:snapToGrid w:val="0"/>
          <w:sz w:val="20"/>
          <w:szCs w:val="20"/>
        </w:rPr>
        <w:t>AG3</w:t>
      </w:r>
      <w:r w:rsidRPr="00201EA2">
        <w:rPr>
          <w:rFonts w:eastAsia="Times New Roman" w:cstheme="minorHAnsi"/>
          <w:snapToGrid w:val="0"/>
          <w:sz w:val="20"/>
          <w:szCs w:val="20"/>
        </w:rPr>
        <w:t>)</w:t>
      </w:r>
      <w:r w:rsidRPr="00201EA2">
        <w:rPr>
          <w:rFonts w:eastAsia="Times New Roman" w:cstheme="minorHAnsi"/>
          <w:snapToGrid w:val="0"/>
          <w:sz w:val="21"/>
          <w:szCs w:val="20"/>
          <w:vertAlign w:val="superscript"/>
        </w:rPr>
        <w:footnoteReference w:id="39"/>
      </w:r>
      <w:r w:rsidRPr="00201EA2">
        <w:rPr>
          <w:rFonts w:eastAsia="Times New Roman" w:cstheme="minorHAnsi"/>
          <w:snapToGrid w:val="0"/>
          <w:sz w:val="20"/>
          <w:szCs w:val="20"/>
        </w:rPr>
        <w:t>. A review of available information from the W3C’s Accessibility Guidelines Working Group</w:t>
      </w:r>
      <w:r w:rsidRPr="00201EA2">
        <w:rPr>
          <w:rFonts w:eastAsia="Times New Roman" w:cstheme="minorHAnsi"/>
          <w:snapToGrid w:val="0"/>
          <w:sz w:val="21"/>
          <w:szCs w:val="20"/>
          <w:vertAlign w:val="superscript"/>
        </w:rPr>
        <w:footnoteReference w:id="40"/>
      </w:r>
      <w:r w:rsidRPr="00201EA2">
        <w:rPr>
          <w:rFonts w:eastAsia="Times New Roman" w:cstheme="minorHAnsi"/>
          <w:snapToGrid w:val="0"/>
          <w:sz w:val="20"/>
          <w:szCs w:val="20"/>
        </w:rPr>
        <w:t xml:space="preserve"> indicates that:</w:t>
      </w:r>
    </w:p>
    <w:p w14:paraId="393F7C41"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 xml:space="preserve">whilst currently an incomplete draft, it is anticipated for completion date sometime in 2026.  </w:t>
      </w:r>
    </w:p>
    <w:p w14:paraId="538E8ACD"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201EA2">
        <w:rPr>
          <w:rFonts w:eastAsia="Times New Roman" w:cstheme="minorHAnsi"/>
          <w:snapToGrid w:val="0"/>
          <w:sz w:val="20"/>
          <w:szCs w:val="20"/>
        </w:rPr>
        <w:t>it will be very </w:t>
      </w:r>
      <w:r w:rsidRPr="00201EA2">
        <w:rPr>
          <w:rFonts w:eastAsia="Times New Roman" w:cstheme="minorHAnsi"/>
          <w:b/>
          <w:bCs/>
          <w:snapToGrid w:val="0"/>
          <w:sz w:val="20"/>
          <w:szCs w:val="20"/>
        </w:rPr>
        <w:t>different</w:t>
      </w:r>
      <w:r w:rsidRPr="00201EA2">
        <w:rPr>
          <w:rFonts w:eastAsia="Times New Roman" w:cstheme="minorHAnsi"/>
          <w:snapToGrid w:val="0"/>
          <w:sz w:val="20"/>
          <w:szCs w:val="20"/>
        </w:rPr>
        <w:t> from previous versions of WCAG, including a different structure, different conformance model as well as a broader scope, beyond just web content.</w:t>
      </w:r>
    </w:p>
    <w:p w14:paraId="1E6FCC5E"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 Chair and the DSB need to be aware that the eventual release of AG 3 will require resourcing to update and manage compliance of these new accessibility requirements within the Data Standards, as well as to educate CDR Participants and CDR Agencies to monitor and enforce new requirements.</w:t>
      </w:r>
    </w:p>
    <w:p w14:paraId="41FFE939"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000000"/>
          <w:sz w:val="26"/>
          <w:szCs w:val="24"/>
        </w:rPr>
      </w:pPr>
      <w:r w:rsidRPr="00201EA2">
        <w:rPr>
          <w:rFonts w:eastAsia="Times New Roman" w:cstheme="minorHAnsi"/>
          <w:i/>
          <w:snapToGrid w:val="0"/>
          <w:color w:val="DC6900"/>
          <w:sz w:val="26"/>
          <w:szCs w:val="24"/>
        </w:rPr>
        <w:t>Considerations for the Chair</w:t>
      </w:r>
    </w:p>
    <w:p w14:paraId="11A2F698"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As the context for the CDR further expands, the ongoing assessment of compliance with Accessibility standards will also increase in scale.  Therefore, deciding on a suitable standard now is an important part of preparing for the future. A principles-based standard, such as WCAG, may scale better with the expansion of the CDR, particularly if these standards are maintained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reflect emerging technology and shifts in international attitudes. Selecting such an Accessibility standard would provide the heavy lifting for the Chair, and the DSB.</w:t>
      </w:r>
    </w:p>
    <w:p w14:paraId="01E56CAB" w14:textId="100674E2" w:rsidR="00201EA2" w:rsidRPr="00D33142" w:rsidRDefault="00201EA2">
      <w:pPr>
        <w:rPr>
          <w:rFonts w:cstheme="minorHAnsi"/>
          <w:sz w:val="20"/>
          <w:szCs w:val="20"/>
        </w:rPr>
      </w:pPr>
      <w:r w:rsidRPr="00D33142">
        <w:rPr>
          <w:rFonts w:cstheme="minorHAnsi"/>
          <w:sz w:val="20"/>
          <w:szCs w:val="20"/>
        </w:rPr>
        <w:br w:type="page"/>
      </w:r>
    </w:p>
    <w:p w14:paraId="239E207A" w14:textId="77777777" w:rsidR="00201EA2" w:rsidRPr="00201EA2" w:rsidRDefault="00201EA2" w:rsidP="00201EA2">
      <w:pPr>
        <w:keepNext/>
        <w:keepLines/>
        <w:pageBreakBefore/>
        <w:kinsoku w:val="0"/>
        <w:overflowPunct w:val="0"/>
        <w:autoSpaceDE w:val="0"/>
        <w:autoSpaceDN w:val="0"/>
        <w:adjustRightInd w:val="0"/>
        <w:snapToGrid w:val="0"/>
        <w:spacing w:after="480" w:line="600" w:lineRule="atLeast"/>
        <w:outlineLvl w:val="1"/>
        <w:rPr>
          <w:rFonts w:eastAsia="Times New Roman" w:cstheme="minorHAnsi"/>
          <w:b/>
          <w:bCs/>
          <w:i/>
          <w:iCs/>
          <w:snapToGrid w:val="0"/>
          <w:color w:val="DC6900"/>
          <w:sz w:val="44"/>
          <w:szCs w:val="36"/>
          <w:lang w:val="en-GB"/>
        </w:rPr>
      </w:pPr>
      <w:bookmarkStart w:id="8" w:name="_Toc107563067"/>
      <w:r w:rsidRPr="00201EA2">
        <w:rPr>
          <w:rFonts w:eastAsia="Times New Roman" w:cstheme="minorHAnsi"/>
          <w:b/>
          <w:bCs/>
          <w:i/>
          <w:iCs/>
          <w:snapToGrid w:val="0"/>
          <w:color w:val="DC6900"/>
          <w:sz w:val="44"/>
          <w:szCs w:val="36"/>
          <w:lang w:val="en-GB"/>
        </w:rPr>
        <w:lastRenderedPageBreak/>
        <w:t>Benefits and risks related to compliance</w:t>
      </w:r>
      <w:bookmarkEnd w:id="8"/>
    </w:p>
    <w:p w14:paraId="0450B2F4"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Trust is crucial</w:t>
      </w:r>
    </w:p>
    <w:p w14:paraId="26EDEAD2"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The CDR gives consumers more control over their data, enabling them to access and share data with a view to accessing better products and services. Therefore, the success of the CDR relies on the trust of consumers and service sector partners who provide these services. Providing </w:t>
      </w:r>
      <w:r w:rsidRPr="00201EA2">
        <w:rPr>
          <w:rFonts w:eastAsia="Times New Roman" w:cstheme="minorHAnsi"/>
          <w:i/>
          <w:iCs/>
          <w:snapToGrid w:val="0"/>
          <w:sz w:val="20"/>
          <w:szCs w:val="20"/>
        </w:rPr>
        <w:t>equal access for all</w:t>
      </w:r>
      <w:r w:rsidRPr="00201EA2">
        <w:rPr>
          <w:rFonts w:eastAsia="Times New Roman" w:cstheme="minorHAnsi"/>
          <w:snapToGrid w:val="0"/>
          <w:sz w:val="20"/>
          <w:szCs w:val="20"/>
        </w:rPr>
        <w:t xml:space="preserve"> and considering accessibility throughout product and service design will build trust with users. Conversely, a failure to consider accessibility risks losing trust with users. Once that trust is eroded, it is difficult to rebuild. Therefore, the Chair should consider Accessibility carefully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build and maintain ongoing trust with consumers.</w:t>
      </w:r>
    </w:p>
    <w:p w14:paraId="10564C44"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The Chair is a corporate leader</w:t>
      </w:r>
    </w:p>
    <w:p w14:paraId="59B8753D"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The CDR is designed to be economy-wide; </w:t>
      </w:r>
      <w:proofErr w:type="gramStart"/>
      <w:r w:rsidRPr="00201EA2">
        <w:rPr>
          <w:rFonts w:eastAsia="Times New Roman" w:cstheme="minorHAnsi"/>
          <w:snapToGrid w:val="0"/>
          <w:sz w:val="20"/>
          <w:szCs w:val="20"/>
        </w:rPr>
        <w:t>therefore</w:t>
      </w:r>
      <w:proofErr w:type="gramEnd"/>
      <w:r w:rsidRPr="00201EA2">
        <w:rPr>
          <w:rFonts w:eastAsia="Times New Roman" w:cstheme="minorHAnsi"/>
          <w:snapToGrid w:val="0"/>
          <w:sz w:val="20"/>
          <w:szCs w:val="20"/>
        </w:rPr>
        <w:t xml:space="preserve"> what decisions the Chair makes influences stakeholders across sectors. Consequently, the Chair holds a position of influence, and can affect positive change </w:t>
      </w:r>
      <w:proofErr w:type="gramStart"/>
      <w:r w:rsidRPr="00201EA2">
        <w:rPr>
          <w:rFonts w:eastAsia="Times New Roman" w:cstheme="minorHAnsi"/>
          <w:snapToGrid w:val="0"/>
          <w:sz w:val="20"/>
          <w:szCs w:val="20"/>
        </w:rPr>
        <w:t>in order to</w:t>
      </w:r>
      <w:proofErr w:type="gramEnd"/>
      <w:r w:rsidRPr="00201EA2">
        <w:rPr>
          <w:rFonts w:eastAsia="Times New Roman" w:cstheme="minorHAnsi"/>
          <w:snapToGrid w:val="0"/>
          <w:sz w:val="20"/>
          <w:szCs w:val="20"/>
        </w:rPr>
        <w:t xml:space="preserve"> support outcomes for all Australians, including sending a clear message regarding Inclusivity.</w:t>
      </w:r>
    </w:p>
    <w:p w14:paraId="14768944"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Non-compliance comes with several risks</w:t>
      </w:r>
    </w:p>
    <w:p w14:paraId="227CC2F5"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There are several risks for not complying with accessibility obligations:</w:t>
      </w:r>
    </w:p>
    <w:p w14:paraId="274FEEE6"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b/>
          <w:bCs/>
          <w:snapToGrid w:val="0"/>
          <w:sz w:val="20"/>
          <w:szCs w:val="20"/>
        </w:rPr>
        <w:t>Negative publicity or public perception of the CDR</w:t>
      </w:r>
      <w:r w:rsidRPr="00201EA2">
        <w:rPr>
          <w:rFonts w:eastAsia="Times New Roman" w:cstheme="minorHAnsi"/>
          <w:snapToGrid w:val="0"/>
          <w:sz w:val="20"/>
          <w:szCs w:val="20"/>
        </w:rPr>
        <w:t xml:space="preserve">: recent publicity relating to the airline industry demonstrates that poor accessibility experiences can generate negative publicity for large organisations. </w:t>
      </w:r>
      <w:r w:rsidRPr="00201EA2">
        <w:rPr>
          <w:rFonts w:eastAsia="Times New Roman" w:cstheme="minorHAnsi"/>
          <w:snapToGrid w:val="0"/>
          <w:sz w:val="21"/>
          <w:vertAlign w:val="superscript"/>
        </w:rPr>
        <w:footnoteReference w:id="41"/>
      </w:r>
    </w:p>
    <w:p w14:paraId="408CA261"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b/>
          <w:bCs/>
          <w:snapToGrid w:val="0"/>
          <w:sz w:val="20"/>
          <w:szCs w:val="20"/>
        </w:rPr>
        <w:t>Legal action</w:t>
      </w:r>
      <w:r w:rsidRPr="00201EA2">
        <w:rPr>
          <w:rFonts w:eastAsia="Times New Roman" w:cstheme="minorHAnsi"/>
          <w:snapToGrid w:val="0"/>
          <w:sz w:val="20"/>
          <w:szCs w:val="20"/>
        </w:rPr>
        <w:t xml:space="preserve">: given the legislative obligations under DDA, the Chair and/or DSB could risk legal action related to not providing </w:t>
      </w:r>
      <w:r w:rsidRPr="00201EA2">
        <w:rPr>
          <w:rFonts w:eastAsia="Times New Roman" w:cstheme="minorHAnsi"/>
          <w:i/>
          <w:iCs/>
          <w:snapToGrid w:val="0"/>
          <w:sz w:val="20"/>
          <w:szCs w:val="20"/>
        </w:rPr>
        <w:t>equal access for all</w:t>
      </w:r>
      <w:r w:rsidRPr="00201EA2">
        <w:rPr>
          <w:rFonts w:eastAsia="Times New Roman" w:cstheme="minorHAnsi"/>
          <w:snapToGrid w:val="0"/>
          <w:sz w:val="20"/>
          <w:szCs w:val="20"/>
        </w:rPr>
        <w:t>. The AHRC keeps a register of similar decisions under DDA.</w:t>
      </w:r>
      <w:r w:rsidRPr="00201EA2">
        <w:rPr>
          <w:rFonts w:eastAsia="Times New Roman" w:cstheme="minorHAnsi"/>
          <w:b/>
          <w:bCs/>
          <w:snapToGrid w:val="0"/>
          <w:sz w:val="20"/>
          <w:szCs w:val="20"/>
        </w:rPr>
        <w:t xml:space="preserve"> </w:t>
      </w:r>
      <w:r w:rsidRPr="00201EA2">
        <w:rPr>
          <w:rFonts w:eastAsia="Times New Roman" w:cstheme="minorHAnsi"/>
          <w:snapToGrid w:val="0"/>
          <w:sz w:val="21"/>
          <w:vertAlign w:val="superscript"/>
        </w:rPr>
        <w:footnoteReference w:id="42"/>
      </w:r>
    </w:p>
    <w:p w14:paraId="6E3E3F3F"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snapToGrid w:val="0"/>
          <w:sz w:val="20"/>
          <w:szCs w:val="20"/>
        </w:rPr>
        <w:t xml:space="preserve">Secondary effects for </w:t>
      </w:r>
      <w:r w:rsidRPr="00201EA2">
        <w:rPr>
          <w:rFonts w:eastAsia="Times New Roman" w:cstheme="minorHAnsi"/>
          <w:b/>
          <w:bCs/>
          <w:snapToGrid w:val="0"/>
          <w:sz w:val="20"/>
          <w:szCs w:val="20"/>
        </w:rPr>
        <w:t>sector organisations</w:t>
      </w:r>
      <w:r w:rsidRPr="00201EA2">
        <w:rPr>
          <w:rFonts w:eastAsia="Times New Roman" w:cstheme="minorHAnsi"/>
          <w:snapToGrid w:val="0"/>
          <w:sz w:val="20"/>
          <w:szCs w:val="20"/>
        </w:rPr>
        <w:t>: where the Chair is providing products and services for others to use, they may risk acquired liability. Those organisations may expect that the Chair, and DSB, have considered accessibility before providing those resources for others to use.</w:t>
      </w:r>
    </w:p>
    <w:p w14:paraId="650D562F" w14:textId="77777777" w:rsidR="00201EA2" w:rsidRPr="00201EA2" w:rsidRDefault="00201EA2" w:rsidP="00201EA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201EA2">
        <w:rPr>
          <w:rFonts w:eastAsia="Times New Roman" w:cstheme="minorHAnsi"/>
          <w:i/>
          <w:snapToGrid w:val="0"/>
          <w:color w:val="DC6900"/>
          <w:sz w:val="26"/>
          <w:szCs w:val="24"/>
        </w:rPr>
        <w:t>Compliance can offer wide-ranging benefits</w:t>
      </w:r>
    </w:p>
    <w:p w14:paraId="4BB0447B" w14:textId="77777777" w:rsidR="00201EA2" w:rsidRPr="00201EA2" w:rsidRDefault="00201EA2" w:rsidP="00201EA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201EA2">
        <w:rPr>
          <w:rFonts w:eastAsia="Times New Roman" w:cstheme="minorHAnsi"/>
          <w:snapToGrid w:val="0"/>
          <w:sz w:val="20"/>
          <w:szCs w:val="20"/>
        </w:rPr>
        <w:t xml:space="preserve">Compliance delivers benefits because consumer diversity is the norm not the exception. Each consumer possesses their own unique combination of attributes such as ability (physical, sensory and cognitive), language, culture, gender, age and other forms of human difference. Understanding the differences and common needs will allow the CDR to support the delivery of better and more equitable products and services. </w:t>
      </w:r>
      <w:proofErr w:type="gramStart"/>
      <w:r w:rsidRPr="00201EA2">
        <w:rPr>
          <w:rFonts w:eastAsia="Times New Roman" w:cstheme="minorHAnsi"/>
          <w:snapToGrid w:val="0"/>
          <w:sz w:val="20"/>
          <w:szCs w:val="20"/>
        </w:rPr>
        <w:t>Particular benefits</w:t>
      </w:r>
      <w:proofErr w:type="gramEnd"/>
      <w:r w:rsidRPr="00201EA2">
        <w:rPr>
          <w:rFonts w:eastAsia="Times New Roman" w:cstheme="minorHAnsi"/>
          <w:snapToGrid w:val="0"/>
          <w:sz w:val="20"/>
          <w:szCs w:val="20"/>
        </w:rPr>
        <w:t xml:space="preserve"> of complying with accessibility obligations include:</w:t>
      </w:r>
    </w:p>
    <w:p w14:paraId="444002BE"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b/>
          <w:bCs/>
          <w:snapToGrid w:val="0"/>
          <w:sz w:val="20"/>
          <w:szCs w:val="20"/>
        </w:rPr>
      </w:pPr>
      <w:r w:rsidRPr="00201EA2">
        <w:rPr>
          <w:rFonts w:eastAsia="Times New Roman" w:cstheme="minorHAnsi"/>
          <w:b/>
          <w:bCs/>
          <w:snapToGrid w:val="0"/>
          <w:sz w:val="20"/>
          <w:szCs w:val="20"/>
        </w:rPr>
        <w:t>Drives innovation</w:t>
      </w:r>
      <w:r w:rsidRPr="00201EA2">
        <w:rPr>
          <w:rFonts w:eastAsia="Times New Roman" w:cstheme="minorHAnsi"/>
          <w:snapToGrid w:val="0"/>
          <w:sz w:val="20"/>
          <w:szCs w:val="20"/>
        </w:rPr>
        <w:t>: Accessibility features in products and services often solve unanticipated problems for a broader group of users, rather than only those with identified accessibility needs.</w:t>
      </w:r>
    </w:p>
    <w:p w14:paraId="66B6079E" w14:textId="77777777" w:rsidR="00201EA2" w:rsidRPr="00201EA2" w:rsidRDefault="00201EA2" w:rsidP="00201EA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201EA2">
        <w:rPr>
          <w:rFonts w:eastAsia="Times New Roman" w:cstheme="minorHAnsi"/>
          <w:b/>
          <w:bCs/>
          <w:snapToGrid w:val="0"/>
          <w:sz w:val="20"/>
          <w:szCs w:val="20"/>
        </w:rPr>
        <w:t>Improves Usability</w:t>
      </w:r>
      <w:r w:rsidRPr="00201EA2">
        <w:rPr>
          <w:rFonts w:eastAsia="Times New Roman" w:cstheme="minorHAnsi"/>
          <w:snapToGrid w:val="0"/>
          <w:sz w:val="20"/>
          <w:szCs w:val="20"/>
        </w:rPr>
        <w:t>: Accessibility features are essential for some and useful for all.</w:t>
      </w:r>
    </w:p>
    <w:p w14:paraId="62BEB38D" w14:textId="1F93E779" w:rsidR="008E3164" w:rsidRPr="00D33142" w:rsidRDefault="00201EA2" w:rsidP="00201EA2">
      <w:pPr>
        <w:rPr>
          <w:rFonts w:eastAsia="Times New Roman" w:cstheme="minorHAnsi"/>
          <w:snapToGrid w:val="0"/>
          <w:sz w:val="20"/>
          <w:szCs w:val="20"/>
        </w:rPr>
      </w:pPr>
      <w:r w:rsidRPr="00D33142">
        <w:rPr>
          <w:rFonts w:eastAsia="Times New Roman" w:cstheme="minorHAnsi"/>
          <w:b/>
          <w:bCs/>
          <w:snapToGrid w:val="0"/>
          <w:sz w:val="20"/>
          <w:szCs w:val="20"/>
        </w:rPr>
        <w:t>Increases uptake</w:t>
      </w:r>
      <w:r w:rsidRPr="00D33142">
        <w:rPr>
          <w:rFonts w:eastAsia="Times New Roman" w:cstheme="minorHAnsi"/>
          <w:snapToGrid w:val="0"/>
          <w:sz w:val="20"/>
          <w:szCs w:val="20"/>
        </w:rPr>
        <w:t>: More Australians can benefit from the CDR and build trust and confidence with the scheme, rather than those who are most likely and able to adopt it because do not experience the same barriers to access</w:t>
      </w:r>
      <w:r w:rsidR="008E3164" w:rsidRPr="00D33142">
        <w:rPr>
          <w:rFonts w:eastAsia="Times New Roman" w:cstheme="minorHAnsi"/>
          <w:snapToGrid w:val="0"/>
          <w:sz w:val="20"/>
          <w:szCs w:val="20"/>
        </w:rPr>
        <w:t>.</w:t>
      </w:r>
    </w:p>
    <w:p w14:paraId="0823BE0A" w14:textId="77777777" w:rsidR="008E3164" w:rsidRPr="00D33142" w:rsidRDefault="008E3164">
      <w:pPr>
        <w:rPr>
          <w:rFonts w:eastAsia="Times New Roman" w:cstheme="minorHAnsi"/>
          <w:snapToGrid w:val="0"/>
          <w:sz w:val="20"/>
          <w:szCs w:val="20"/>
        </w:rPr>
      </w:pPr>
      <w:r w:rsidRPr="00D33142">
        <w:rPr>
          <w:rFonts w:eastAsia="Times New Roman" w:cstheme="minorHAnsi"/>
          <w:snapToGrid w:val="0"/>
          <w:sz w:val="20"/>
          <w:szCs w:val="20"/>
        </w:rPr>
        <w:br w:type="page"/>
      </w:r>
    </w:p>
    <w:p w14:paraId="2D227FF7" w14:textId="0CA44B55" w:rsidR="00776733" w:rsidRPr="00D33142" w:rsidRDefault="008E3164" w:rsidP="00201EA2">
      <w:pPr>
        <w:rPr>
          <w:rFonts w:eastAsia="Times New Roman" w:cstheme="minorHAnsi"/>
          <w:b/>
          <w:bCs/>
          <w:i/>
          <w:iCs/>
          <w:snapToGrid w:val="0"/>
          <w:color w:val="DC6900"/>
          <w:sz w:val="44"/>
          <w:szCs w:val="36"/>
          <w:lang w:val="en-GB"/>
        </w:rPr>
      </w:pPr>
      <w:r w:rsidRPr="00D33142">
        <w:rPr>
          <w:rFonts w:eastAsia="Times New Roman" w:cstheme="minorHAnsi"/>
          <w:b/>
          <w:bCs/>
          <w:i/>
          <w:iCs/>
          <w:snapToGrid w:val="0"/>
          <w:color w:val="DC6900"/>
          <w:sz w:val="44"/>
          <w:szCs w:val="36"/>
          <w:lang w:val="en-GB"/>
        </w:rPr>
        <w:lastRenderedPageBreak/>
        <w:t>Appendices</w:t>
      </w:r>
    </w:p>
    <w:p w14:paraId="7F8AF978" w14:textId="72639110" w:rsidR="00D33142" w:rsidRPr="00946AF3" w:rsidRDefault="00D33142" w:rsidP="00D33142">
      <w:pPr>
        <w:rPr>
          <w:rFonts w:eastAsia="Times New Roman" w:cstheme="minorHAnsi"/>
          <w:snapToGrid w:val="0"/>
          <w:sz w:val="20"/>
          <w:szCs w:val="20"/>
        </w:rPr>
      </w:pPr>
      <w:r w:rsidRPr="00D33142">
        <w:rPr>
          <w:rFonts w:eastAsia="Times New Roman" w:cstheme="minorHAnsi"/>
          <w:snapToGrid w:val="0"/>
          <w:sz w:val="20"/>
          <w:szCs w:val="20"/>
        </w:rPr>
        <w:t xml:space="preserve">Appendix A: </w:t>
      </w:r>
      <w:r w:rsidRPr="00D33142">
        <w:rPr>
          <w:rFonts w:eastAsia="Times New Roman" w:cstheme="minorHAnsi"/>
          <w:snapToGrid w:val="0"/>
          <w:sz w:val="20"/>
          <w:szCs w:val="20"/>
        </w:rPr>
        <w:t>United Nations Convention on the Rights of Persons with Disabilities (CRPD)</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18</w:t>
      </w:r>
    </w:p>
    <w:p w14:paraId="11915D78" w14:textId="4D19B120" w:rsidR="00D33142" w:rsidRPr="00946AF3" w:rsidRDefault="00D33142" w:rsidP="00D33142">
      <w:pPr>
        <w:rPr>
          <w:rFonts w:eastAsia="Times New Roman" w:cstheme="minorHAnsi"/>
          <w:snapToGrid w:val="0"/>
          <w:sz w:val="20"/>
          <w:szCs w:val="20"/>
        </w:rPr>
      </w:pPr>
      <w:r w:rsidRPr="00D33142">
        <w:rPr>
          <w:rFonts w:eastAsia="Times New Roman" w:cstheme="minorHAnsi"/>
          <w:snapToGrid w:val="0"/>
          <w:sz w:val="20"/>
          <w:szCs w:val="20"/>
        </w:rPr>
        <w:t xml:space="preserve">Appendix </w:t>
      </w:r>
      <w:r w:rsidRPr="00D33142">
        <w:rPr>
          <w:rFonts w:eastAsia="Times New Roman" w:cstheme="minorHAnsi"/>
          <w:snapToGrid w:val="0"/>
          <w:sz w:val="20"/>
          <w:szCs w:val="20"/>
        </w:rPr>
        <w:t>B</w:t>
      </w:r>
      <w:r w:rsidRPr="00D33142">
        <w:rPr>
          <w:rFonts w:eastAsia="Times New Roman" w:cstheme="minorHAnsi"/>
          <w:snapToGrid w:val="0"/>
          <w:sz w:val="20"/>
          <w:szCs w:val="20"/>
        </w:rPr>
        <w:t>:</w:t>
      </w:r>
      <w:r w:rsidRPr="00D33142">
        <w:rPr>
          <w:rFonts w:eastAsia="Times New Roman" w:cstheme="minorHAnsi"/>
          <w:snapToGrid w:val="0"/>
          <w:sz w:val="20"/>
          <w:szCs w:val="20"/>
        </w:rPr>
        <w:t xml:space="preserve"> </w:t>
      </w:r>
      <w:r w:rsidRPr="00D33142">
        <w:rPr>
          <w:rFonts w:eastAsia="Times New Roman" w:cstheme="minorHAnsi"/>
          <w:snapToGrid w:val="0"/>
          <w:sz w:val="20"/>
          <w:szCs w:val="20"/>
        </w:rPr>
        <w:t>Principles of Universal Design</w:t>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946AF3">
        <w:rPr>
          <w:rFonts w:eastAsia="Times New Roman" w:cstheme="minorHAnsi"/>
          <w:snapToGrid w:val="0"/>
          <w:sz w:val="20"/>
          <w:szCs w:val="20"/>
        </w:rPr>
        <w:tab/>
      </w:r>
      <w:r w:rsidRPr="00D33142">
        <w:rPr>
          <w:rFonts w:eastAsia="Times New Roman" w:cstheme="minorHAnsi"/>
          <w:snapToGrid w:val="0"/>
          <w:sz w:val="20"/>
          <w:szCs w:val="20"/>
        </w:rPr>
        <w:t>19</w:t>
      </w:r>
    </w:p>
    <w:p w14:paraId="2CB32C68" w14:textId="1E7D25FA" w:rsidR="00D33142" w:rsidRPr="00D33142" w:rsidRDefault="00D33142" w:rsidP="00D33142">
      <w:pPr>
        <w:tabs>
          <w:tab w:val="num" w:pos="3685"/>
        </w:tabs>
        <w:rPr>
          <w:rFonts w:eastAsia="Times New Roman" w:cstheme="minorHAnsi"/>
          <w:snapToGrid w:val="0"/>
          <w:sz w:val="20"/>
          <w:szCs w:val="20"/>
        </w:rPr>
      </w:pPr>
      <w:r w:rsidRPr="00D33142">
        <w:rPr>
          <w:rFonts w:eastAsia="Times New Roman" w:cstheme="minorHAnsi"/>
          <w:snapToGrid w:val="0"/>
          <w:sz w:val="20"/>
          <w:szCs w:val="20"/>
        </w:rPr>
        <w:br w:type="page"/>
      </w:r>
      <w:bookmarkStart w:id="9" w:name="_Toc107496761"/>
      <w:bookmarkStart w:id="10" w:name="_Toc107563068"/>
      <w:r w:rsidRPr="00D33142">
        <w:rPr>
          <w:rFonts w:eastAsia="Times New Roman" w:cstheme="minorHAnsi"/>
          <w:b/>
          <w:i/>
          <w:iCs/>
          <w:snapToGrid w:val="0"/>
          <w:color w:val="DC6900"/>
          <w:sz w:val="44"/>
          <w:szCs w:val="36"/>
          <w:lang w:val="en-GB"/>
        </w:rPr>
        <w:lastRenderedPageBreak/>
        <w:t>Appendix A: U</w:t>
      </w:r>
      <w:r w:rsidRPr="00D33142">
        <w:rPr>
          <w:rFonts w:eastAsia="Times New Roman" w:cstheme="minorHAnsi"/>
          <w:b/>
          <w:i/>
          <w:iCs/>
          <w:snapToGrid w:val="0"/>
          <w:color w:val="DC6900"/>
          <w:sz w:val="44"/>
          <w:szCs w:val="36"/>
          <w:lang w:val="en-GB"/>
        </w:rPr>
        <w:t>nited Nations Convention on the Rights of Persons with Disabilities (CRPD)</w:t>
      </w:r>
      <w:bookmarkEnd w:id="9"/>
      <w:bookmarkEnd w:id="10"/>
    </w:p>
    <w:p w14:paraId="70BB55F7"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D33142">
        <w:rPr>
          <w:rFonts w:eastAsia="Times New Roman" w:cstheme="minorHAnsi"/>
          <w:snapToGrid w:val="0"/>
          <w:sz w:val="20"/>
          <w:szCs w:val="20"/>
        </w:rPr>
        <w:t xml:space="preserve">Australia is 1 of 185 countries that have ratified the </w:t>
      </w:r>
      <w:r w:rsidRPr="00D33142">
        <w:rPr>
          <w:rFonts w:eastAsia="Times New Roman" w:cstheme="minorHAnsi"/>
          <w:i/>
          <w:iCs/>
          <w:snapToGrid w:val="0"/>
          <w:sz w:val="20"/>
          <w:szCs w:val="20"/>
        </w:rPr>
        <w:t>United Nations Convention on the Rights of Persons with Disabilities</w:t>
      </w:r>
      <w:r w:rsidRPr="00D33142">
        <w:rPr>
          <w:rFonts w:eastAsia="Times New Roman" w:cstheme="minorHAnsi"/>
          <w:i/>
          <w:iCs/>
          <w:snapToGrid w:val="0"/>
          <w:sz w:val="21"/>
          <w:szCs w:val="20"/>
          <w:vertAlign w:val="superscript"/>
        </w:rPr>
        <w:footnoteReference w:id="43"/>
      </w:r>
      <w:r w:rsidRPr="00D33142">
        <w:rPr>
          <w:rFonts w:eastAsia="Times New Roman" w:cstheme="minorHAnsi"/>
          <w:i/>
          <w:iCs/>
          <w:snapToGrid w:val="0"/>
          <w:sz w:val="20"/>
          <w:szCs w:val="20"/>
        </w:rPr>
        <w:t>.</w:t>
      </w:r>
      <w:r w:rsidRPr="00D33142">
        <w:rPr>
          <w:rFonts w:eastAsia="Times New Roman" w:cstheme="minorHAnsi"/>
          <w:snapToGrid w:val="0"/>
          <w:sz w:val="20"/>
          <w:szCs w:val="20"/>
        </w:rPr>
        <w:t xml:space="preserve"> The CRPD asserts a range of fundamental rights and freedoms that people with a disability enjoy as members of society including: </w:t>
      </w:r>
    </w:p>
    <w:p w14:paraId="5DDDC9CF"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D33142">
        <w:rPr>
          <w:rFonts w:eastAsia="Times New Roman" w:cstheme="minorHAnsi"/>
          <w:snapToGrid w:val="0"/>
          <w:sz w:val="20"/>
          <w:szCs w:val="20"/>
        </w:rPr>
        <w:t>Article 4: (1)(g) requires signatories to “Promote access for persons with disabilities to new information and communications technologies and systems, including the Internet”.</w:t>
      </w:r>
    </w:p>
    <w:p w14:paraId="2093E564"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D33142">
        <w:rPr>
          <w:rFonts w:eastAsia="Times New Roman" w:cstheme="minorHAnsi"/>
          <w:snapToGrid w:val="0"/>
          <w:sz w:val="20"/>
          <w:szCs w:val="20"/>
        </w:rPr>
        <w:t>Article 9: requires signatories to take “appropriate measures to ensure to persons with disabilities access, on an equal basis with others, …., to information and communications, including information and communications technologies and systems, and to other facilities and services open or provided to the public.</w:t>
      </w:r>
    </w:p>
    <w:p w14:paraId="66E87D3D" w14:textId="3B75C974"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r w:rsidRPr="00D33142">
        <w:rPr>
          <w:rFonts w:eastAsia="Times New Roman" w:cstheme="minorHAnsi"/>
          <w:snapToGrid w:val="0"/>
          <w:sz w:val="20"/>
          <w:szCs w:val="20"/>
        </w:rPr>
        <w:t>Article 21: requires signatories to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p>
    <w:p w14:paraId="30BE30A6" w14:textId="77777777" w:rsidR="00D33142" w:rsidRPr="00D33142" w:rsidRDefault="00D33142">
      <w:pPr>
        <w:rPr>
          <w:rFonts w:eastAsia="Times New Roman" w:cstheme="minorHAnsi"/>
          <w:snapToGrid w:val="0"/>
          <w:color w:val="000000"/>
          <w:sz w:val="20"/>
          <w:szCs w:val="20"/>
        </w:rPr>
      </w:pPr>
      <w:r w:rsidRPr="00D33142">
        <w:rPr>
          <w:rFonts w:eastAsia="Times New Roman" w:cstheme="minorHAnsi"/>
          <w:snapToGrid w:val="0"/>
          <w:color w:val="000000"/>
          <w:sz w:val="20"/>
          <w:szCs w:val="20"/>
        </w:rPr>
        <w:br w:type="page"/>
      </w:r>
    </w:p>
    <w:p w14:paraId="50FF3D4F" w14:textId="3397CEE9" w:rsidR="00D33142" w:rsidRPr="00D33142" w:rsidRDefault="00D33142" w:rsidP="00D33142">
      <w:pPr>
        <w:keepNext/>
        <w:keepLines/>
        <w:numPr>
          <w:ilvl w:val="4"/>
          <w:numId w:val="0"/>
        </w:numPr>
        <w:tabs>
          <w:tab w:val="num" w:pos="3685"/>
        </w:tabs>
        <w:kinsoku w:val="0"/>
        <w:overflowPunct w:val="0"/>
        <w:autoSpaceDE w:val="0"/>
        <w:autoSpaceDN w:val="0"/>
        <w:adjustRightInd w:val="0"/>
        <w:snapToGrid w:val="0"/>
        <w:spacing w:after="480" w:line="600" w:lineRule="atLeast"/>
        <w:outlineLvl w:val="3"/>
        <w:rPr>
          <w:rFonts w:eastAsia="Times New Roman" w:cstheme="minorHAnsi"/>
          <w:b/>
          <w:i/>
          <w:iCs/>
          <w:snapToGrid w:val="0"/>
          <w:color w:val="DC6900"/>
          <w:sz w:val="44"/>
          <w:szCs w:val="36"/>
        </w:rPr>
      </w:pPr>
      <w:bookmarkStart w:id="11" w:name="_Toc107496762"/>
      <w:bookmarkStart w:id="12" w:name="_Toc107563069"/>
      <w:r w:rsidRPr="00D33142">
        <w:rPr>
          <w:rFonts w:eastAsia="Times New Roman" w:cstheme="minorHAnsi"/>
          <w:b/>
          <w:i/>
          <w:iCs/>
          <w:snapToGrid w:val="0"/>
          <w:color w:val="DC6900"/>
          <w:sz w:val="44"/>
          <w:szCs w:val="36"/>
        </w:rPr>
        <w:lastRenderedPageBreak/>
        <w:t xml:space="preserve">Appendix B: </w:t>
      </w:r>
      <w:r w:rsidRPr="00D33142">
        <w:rPr>
          <w:rFonts w:eastAsia="Times New Roman" w:cstheme="minorHAnsi"/>
          <w:b/>
          <w:i/>
          <w:iCs/>
          <w:snapToGrid w:val="0"/>
          <w:color w:val="DC6900"/>
          <w:sz w:val="44"/>
          <w:szCs w:val="36"/>
        </w:rPr>
        <w:t>Principles of Universal Design</w:t>
      </w:r>
      <w:bookmarkEnd w:id="11"/>
      <w:bookmarkEnd w:id="12"/>
    </w:p>
    <w:p w14:paraId="6ADFD950"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D33142">
        <w:rPr>
          <w:rFonts w:eastAsia="Times New Roman" w:cstheme="minorHAnsi"/>
          <w:snapToGrid w:val="0"/>
          <w:sz w:val="20"/>
          <w:szCs w:val="20"/>
        </w:rPr>
        <w:t>The authors, a working group of architects, product designers, engineers and environmental design researchers, collaborated to establish the following Principles of Universal Design to guide a wide range of design disciplines including environments, products, and communications. These seven principles may be applied to evaluate existing designs, guide the design process and educate both designers and consumers about the characteristics of more usable products and environments.</w:t>
      </w:r>
      <w:r w:rsidRPr="00D33142">
        <w:rPr>
          <w:rFonts w:eastAsia="Times New Roman" w:cstheme="minorHAnsi"/>
          <w:snapToGrid w:val="0"/>
          <w:sz w:val="21"/>
          <w:szCs w:val="20"/>
          <w:vertAlign w:val="superscript"/>
        </w:rPr>
        <w:footnoteReference w:id="44"/>
      </w:r>
    </w:p>
    <w:p w14:paraId="28A0B532" w14:textId="77777777" w:rsidR="00D33142" w:rsidRPr="00D33142" w:rsidRDefault="00D33142" w:rsidP="00D3314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D33142">
        <w:rPr>
          <w:rFonts w:eastAsia="Times New Roman" w:cstheme="minorHAnsi"/>
          <w:i/>
          <w:snapToGrid w:val="0"/>
          <w:color w:val="DC6900"/>
          <w:sz w:val="26"/>
          <w:szCs w:val="24"/>
        </w:rPr>
        <w:t>PRINCIPLE ONE: Equitable Use</w:t>
      </w:r>
    </w:p>
    <w:p w14:paraId="3853FEA1"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D33142">
        <w:rPr>
          <w:rFonts w:eastAsia="Times New Roman" w:cstheme="minorHAnsi"/>
          <w:snapToGrid w:val="0"/>
          <w:sz w:val="20"/>
          <w:szCs w:val="20"/>
        </w:rPr>
        <w:t>The design is useful and marketable to people with diverse abilities.</w:t>
      </w:r>
    </w:p>
    <w:p w14:paraId="095C3A90"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b/>
          <w:bCs/>
          <w:snapToGrid w:val="0"/>
          <w:sz w:val="20"/>
        </w:rPr>
      </w:pPr>
      <w:r w:rsidRPr="00D33142">
        <w:rPr>
          <w:rFonts w:eastAsia="Times New Roman" w:cstheme="minorHAnsi"/>
          <w:b/>
          <w:bCs/>
          <w:snapToGrid w:val="0"/>
          <w:sz w:val="20"/>
        </w:rPr>
        <w:t>Guidelines</w:t>
      </w:r>
    </w:p>
    <w:p w14:paraId="323F5226"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Provide the same means of use for all users: identical whenever possible; equivalent when not.</w:t>
      </w:r>
    </w:p>
    <w:p w14:paraId="423F393F"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Avoid segregating or stigmatizing any users.</w:t>
      </w:r>
    </w:p>
    <w:p w14:paraId="0E83FDA2"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Provisions for privacy, security, and safety should be equally available to all users.</w:t>
      </w:r>
    </w:p>
    <w:p w14:paraId="78A5D7DC"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Make the design appealing to all users.</w:t>
      </w:r>
    </w:p>
    <w:p w14:paraId="0D5712FA" w14:textId="77777777" w:rsidR="00D33142" w:rsidRPr="00D33142" w:rsidRDefault="00D33142" w:rsidP="00D33142">
      <w:pPr>
        <w:keepNext/>
        <w:keepLines/>
        <w:kinsoku w:val="0"/>
        <w:overflowPunct w:val="0"/>
        <w:autoSpaceDE w:val="0"/>
        <w:autoSpaceDN w:val="0"/>
        <w:adjustRightInd w:val="0"/>
        <w:snapToGrid w:val="0"/>
        <w:spacing w:before="240" w:after="40" w:line="180" w:lineRule="atLeast"/>
        <w:rPr>
          <w:rFonts w:eastAsia="Times New Roman" w:cstheme="minorHAnsi"/>
          <w:i/>
          <w:snapToGrid w:val="0"/>
          <w:color w:val="DC6900"/>
          <w:sz w:val="26"/>
          <w:szCs w:val="24"/>
        </w:rPr>
      </w:pPr>
      <w:r w:rsidRPr="00D33142">
        <w:rPr>
          <w:rFonts w:eastAsia="Times New Roman" w:cstheme="minorHAnsi"/>
          <w:i/>
          <w:snapToGrid w:val="0"/>
          <w:color w:val="DC6900"/>
          <w:sz w:val="26"/>
          <w:szCs w:val="24"/>
        </w:rPr>
        <w:t>PRINCIPLE TWO: Flexibility in Use</w:t>
      </w:r>
    </w:p>
    <w:p w14:paraId="607FC4A1"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snapToGrid w:val="0"/>
          <w:sz w:val="20"/>
          <w:szCs w:val="20"/>
        </w:rPr>
      </w:pPr>
      <w:r w:rsidRPr="00D33142">
        <w:rPr>
          <w:rFonts w:eastAsia="Times New Roman" w:cstheme="minorHAnsi"/>
          <w:snapToGrid w:val="0"/>
          <w:sz w:val="20"/>
          <w:szCs w:val="20"/>
        </w:rPr>
        <w:t>The design accommodates a wide range of individual preferences and abilities.</w:t>
      </w:r>
    </w:p>
    <w:p w14:paraId="20A73D17" w14:textId="77777777" w:rsidR="00D33142" w:rsidRPr="00D33142" w:rsidRDefault="00D33142" w:rsidP="00D33142">
      <w:pPr>
        <w:kinsoku w:val="0"/>
        <w:overflowPunct w:val="0"/>
        <w:autoSpaceDE w:val="0"/>
        <w:autoSpaceDN w:val="0"/>
        <w:adjustRightInd w:val="0"/>
        <w:snapToGrid w:val="0"/>
        <w:spacing w:after="240" w:line="276" w:lineRule="auto"/>
        <w:rPr>
          <w:rFonts w:eastAsia="Times New Roman" w:cstheme="minorHAnsi"/>
          <w:b/>
          <w:bCs/>
          <w:snapToGrid w:val="0"/>
          <w:sz w:val="20"/>
        </w:rPr>
      </w:pPr>
      <w:r w:rsidRPr="00D33142">
        <w:rPr>
          <w:rFonts w:eastAsia="Times New Roman" w:cstheme="minorHAnsi"/>
          <w:b/>
          <w:bCs/>
          <w:snapToGrid w:val="0"/>
          <w:sz w:val="20"/>
        </w:rPr>
        <w:t>Guidelines</w:t>
      </w:r>
    </w:p>
    <w:p w14:paraId="4ADF64B6"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Provide choice in methods of use.</w:t>
      </w:r>
    </w:p>
    <w:p w14:paraId="77276D49"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Accommodate right- or left-handed access and use.</w:t>
      </w:r>
    </w:p>
    <w:p w14:paraId="3E987B30"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Facilitate the user’s accuracy and precision.</w:t>
      </w:r>
    </w:p>
    <w:p w14:paraId="7ABAA90A" w14:textId="77777777" w:rsidR="00D33142" w:rsidRPr="00D33142" w:rsidRDefault="00D33142"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sz w:val="20"/>
          <w:szCs w:val="20"/>
        </w:rPr>
      </w:pPr>
      <w:r w:rsidRPr="00D33142">
        <w:rPr>
          <w:rFonts w:eastAsia="Times New Roman" w:cstheme="minorHAnsi"/>
          <w:snapToGrid w:val="0"/>
          <w:sz w:val="20"/>
          <w:szCs w:val="20"/>
        </w:rPr>
        <w:t>Provide adaptability to the user’s pace.</w:t>
      </w:r>
    </w:p>
    <w:p w14:paraId="22694481" w14:textId="77777777" w:rsidR="008E3164" w:rsidRPr="00D33142" w:rsidRDefault="008E3164" w:rsidP="00D33142">
      <w:pPr>
        <w:tabs>
          <w:tab w:val="num" w:pos="284"/>
        </w:tabs>
        <w:kinsoku w:val="0"/>
        <w:overflowPunct w:val="0"/>
        <w:autoSpaceDE w:val="0"/>
        <w:autoSpaceDN w:val="0"/>
        <w:adjustRightInd w:val="0"/>
        <w:snapToGrid w:val="0"/>
        <w:spacing w:after="120" w:line="240" w:lineRule="auto"/>
        <w:ind w:left="284" w:hanging="284"/>
        <w:rPr>
          <w:rFonts w:eastAsia="Times New Roman" w:cstheme="minorHAnsi"/>
          <w:snapToGrid w:val="0"/>
          <w:color w:val="000000"/>
          <w:sz w:val="20"/>
          <w:szCs w:val="20"/>
        </w:rPr>
      </w:pPr>
    </w:p>
    <w:sectPr w:rsidR="008E3164" w:rsidRPr="00D33142" w:rsidSect="007450D1">
      <w:footerReference w:type="default" r:id="rId8"/>
      <w:pgSz w:w="11907" w:h="16840" w:code="9"/>
      <w:pgMar w:top="1418" w:right="1021" w:bottom="1418"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6638" w14:textId="77777777" w:rsidR="00640F3E" w:rsidRDefault="00640F3E" w:rsidP="00640F3E">
      <w:pPr>
        <w:spacing w:after="0" w:line="240" w:lineRule="auto"/>
      </w:pPr>
      <w:r>
        <w:separator/>
      </w:r>
    </w:p>
  </w:endnote>
  <w:endnote w:type="continuationSeparator" w:id="0">
    <w:p w14:paraId="22D9E917" w14:textId="77777777" w:rsidR="00640F3E" w:rsidRDefault="00640F3E" w:rsidP="006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869673"/>
      <w:docPartObj>
        <w:docPartGallery w:val="Page Numbers (Bottom of Page)"/>
        <w:docPartUnique/>
      </w:docPartObj>
    </w:sdtPr>
    <w:sdtEndPr>
      <w:rPr>
        <w:noProof/>
      </w:rPr>
    </w:sdtEndPr>
    <w:sdtContent>
      <w:p w14:paraId="2EAC1429" w14:textId="5D75258C" w:rsidR="00776733" w:rsidRDefault="00776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CD4EF" w14:textId="77777777" w:rsidR="00776733" w:rsidRDefault="0077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BA46F" w14:textId="77777777" w:rsidR="00640F3E" w:rsidRDefault="00640F3E" w:rsidP="00640F3E">
      <w:pPr>
        <w:spacing w:after="0" w:line="240" w:lineRule="auto"/>
      </w:pPr>
      <w:r>
        <w:separator/>
      </w:r>
    </w:p>
  </w:footnote>
  <w:footnote w:type="continuationSeparator" w:id="0">
    <w:p w14:paraId="604BF764" w14:textId="77777777" w:rsidR="00640F3E" w:rsidRDefault="00640F3E" w:rsidP="00640F3E">
      <w:pPr>
        <w:spacing w:after="0" w:line="240" w:lineRule="auto"/>
      </w:pPr>
      <w:r>
        <w:continuationSeparator/>
      </w:r>
    </w:p>
  </w:footnote>
  <w:footnote w:id="1">
    <w:p w14:paraId="7C8F8438" w14:textId="77777777" w:rsidR="00201EA2" w:rsidRPr="00D33142" w:rsidRDefault="00201EA2" w:rsidP="00201EA2">
      <w:pPr>
        <w:pStyle w:val="EndnoteText"/>
        <w:rPr>
          <w:sz w:val="16"/>
          <w:szCs w:val="16"/>
        </w:rPr>
      </w:pPr>
      <w:r w:rsidRPr="00D33142">
        <w:rPr>
          <w:rStyle w:val="FootnoteReference"/>
          <w:sz w:val="16"/>
          <w:szCs w:val="16"/>
        </w:rPr>
        <w:footnoteRef/>
      </w:r>
      <w:r w:rsidRPr="00D33142">
        <w:rPr>
          <w:sz w:val="16"/>
          <w:szCs w:val="16"/>
        </w:rPr>
        <w:t xml:space="preserve"> ETSI EN 301 549 - V3.2.1 - Accessibility requirements for ICT products and services</w:t>
      </w:r>
    </w:p>
  </w:footnote>
  <w:footnote w:id="2">
    <w:p w14:paraId="28D0618A" w14:textId="77777777" w:rsidR="00201EA2" w:rsidRPr="00D33142" w:rsidRDefault="00201EA2" w:rsidP="00201EA2">
      <w:pPr>
        <w:pStyle w:val="EndnoteText"/>
        <w:rPr>
          <w:sz w:val="16"/>
          <w:szCs w:val="16"/>
        </w:rPr>
      </w:pPr>
      <w:r w:rsidRPr="00D33142">
        <w:rPr>
          <w:rStyle w:val="FootnoteReference"/>
          <w:sz w:val="16"/>
          <w:szCs w:val="16"/>
        </w:rPr>
        <w:footnoteRef/>
      </w:r>
      <w:r w:rsidRPr="00D33142">
        <w:rPr>
          <w:sz w:val="16"/>
          <w:szCs w:val="16"/>
        </w:rPr>
        <w:t xml:space="preserve"> AS EN 301 549:2020 - Accessibility requirements for ICT products and services</w:t>
      </w:r>
    </w:p>
  </w:footnote>
  <w:footnote w:id="3">
    <w:p w14:paraId="5D3AB516"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https://www.w3.org/WAI/standards-guidelines/wcag/</w:t>
      </w:r>
    </w:p>
  </w:footnote>
  <w:footnote w:id="4">
    <w:p w14:paraId="3041F18C"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Disability Discrimination Act 1992 Part 2 Division 2 Section 29: Administration of Commonwealth laws and programs</w:t>
      </w:r>
    </w:p>
  </w:footnote>
  <w:footnote w:id="5">
    <w:p w14:paraId="6CDC588E"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https://www.closingthegap.gov.au/national-agreement/targets</w:t>
      </w:r>
    </w:p>
  </w:footnote>
  <w:footnote w:id="6">
    <w:p w14:paraId="5C3E317A"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https://www.pmc.gov.au/public-data/open-data</w:t>
      </w:r>
    </w:p>
  </w:footnote>
  <w:footnote w:id="7">
    <w:p w14:paraId="58FCF2C1"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https://www.ausbanking.org.au/wp-content/uploads/2019/05/Accessibility_Principles_for_Banking_web.pdf</w:t>
      </w:r>
    </w:p>
  </w:footnote>
  <w:footnote w:id="8">
    <w:p w14:paraId="7AF9C35B"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World Wide Web Access: Disability Discrimination Act Advisory Notes </w:t>
      </w:r>
      <w:proofErr w:type="spellStart"/>
      <w:r w:rsidRPr="00D33142">
        <w:rPr>
          <w:sz w:val="16"/>
          <w:szCs w:val="16"/>
        </w:rPr>
        <w:t>ver</w:t>
      </w:r>
      <w:proofErr w:type="spellEnd"/>
      <w:r w:rsidRPr="00D33142">
        <w:rPr>
          <w:sz w:val="16"/>
          <w:szCs w:val="16"/>
        </w:rPr>
        <w:t xml:space="preserve"> 4.1 (2014) | Australian Human Rights Commission</w:t>
      </w:r>
    </w:p>
  </w:footnote>
  <w:footnote w:id="9">
    <w:p w14:paraId="5AC873D1"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w:t>
      </w:r>
      <w:r w:rsidRPr="00D33142">
        <w:rPr>
          <w:sz w:val="16"/>
          <w:szCs w:val="16"/>
          <w:lang w:val="en-US"/>
        </w:rPr>
        <w:t>Ibid</w:t>
      </w:r>
    </w:p>
  </w:footnote>
  <w:footnote w:id="10">
    <w:p w14:paraId="6B3BF8F6"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World Wide Web Access: Disability Discrimination Act Advisory Notes </w:t>
      </w:r>
      <w:proofErr w:type="spellStart"/>
      <w:r w:rsidRPr="00D33142">
        <w:rPr>
          <w:sz w:val="16"/>
          <w:szCs w:val="16"/>
        </w:rPr>
        <w:t>ver</w:t>
      </w:r>
      <w:proofErr w:type="spellEnd"/>
      <w:r w:rsidRPr="00D33142">
        <w:rPr>
          <w:sz w:val="16"/>
          <w:szCs w:val="16"/>
        </w:rPr>
        <w:t xml:space="preserve"> 4.1 (2014) | Australian Human Rights Commission</w:t>
      </w:r>
    </w:p>
  </w:footnote>
  <w:footnote w:id="11">
    <w:p w14:paraId="76CAE6CE"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w:t>
      </w:r>
      <w:r w:rsidRPr="00D33142">
        <w:rPr>
          <w:sz w:val="16"/>
          <w:szCs w:val="16"/>
          <w:lang w:val="en-US"/>
        </w:rPr>
        <w:t>Ibid</w:t>
      </w:r>
    </w:p>
  </w:footnote>
  <w:footnote w:id="12">
    <w:p w14:paraId="61056D56"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https://www.w3.org/WAI/fundamentals/accessibility-usability-inclusion/</w:t>
      </w:r>
    </w:p>
  </w:footnote>
  <w:footnote w:id="13">
    <w:p w14:paraId="284069DD"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https://www.w3.org/WAI/fundamentals/accessibility-usability-inclusion/</w:t>
      </w:r>
    </w:p>
  </w:footnote>
  <w:footnote w:id="14">
    <w:p w14:paraId="4A2A1329"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Mr Stephen Jones (2019) </w:t>
      </w:r>
      <w:hyperlink r:id="rId1" w:history="1">
        <w:r w:rsidRPr="00D33142">
          <w:rPr>
            <w:rStyle w:val="Hyperlink1"/>
            <w:sz w:val="16"/>
            <w:szCs w:val="16"/>
          </w:rPr>
          <w:t>Treasury Laws Amendment (Consumer Data Right) Bill 2019, Second Reading</w:t>
        </w:r>
      </w:hyperlink>
      <w:r w:rsidRPr="00D33142">
        <w:rPr>
          <w:sz w:val="16"/>
          <w:szCs w:val="16"/>
        </w:rPr>
        <w:t xml:space="preserve"> (13:20)</w:t>
      </w:r>
    </w:p>
  </w:footnote>
  <w:footnote w:id="15">
    <w:p w14:paraId="4B2DD77F"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Mr Stephen Jones (2019) </w:t>
      </w:r>
      <w:hyperlink r:id="rId2" w:history="1">
        <w:r w:rsidRPr="00D33142">
          <w:rPr>
            <w:rStyle w:val="Hyperlink1"/>
            <w:sz w:val="16"/>
            <w:szCs w:val="16"/>
          </w:rPr>
          <w:t>Treasury Laws Amendment (Consumer Data Right) Bill 2019, Second Reading</w:t>
        </w:r>
      </w:hyperlink>
      <w:r w:rsidRPr="00D33142">
        <w:rPr>
          <w:sz w:val="16"/>
          <w:szCs w:val="16"/>
        </w:rPr>
        <w:t xml:space="preserve"> (17:01)</w:t>
      </w:r>
    </w:p>
  </w:footnote>
  <w:footnote w:id="16">
    <w:p w14:paraId="38B1078B"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CX Research (2020) </w:t>
      </w:r>
      <w:hyperlink r:id="rId3" w:history="1">
        <w:r w:rsidRPr="00D33142">
          <w:rPr>
            <w:rStyle w:val="Hyperlink1"/>
            <w:sz w:val="16"/>
            <w:szCs w:val="16"/>
          </w:rPr>
          <w:t>Phase 3: Round 6, p.10</w:t>
        </w:r>
      </w:hyperlink>
    </w:p>
  </w:footnote>
  <w:footnote w:id="17">
    <w:p w14:paraId="218B1281"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http://www.w3.org/TR/WCAG20</w:t>
      </w:r>
    </w:p>
  </w:footnote>
  <w:footnote w:id="18">
    <w:p w14:paraId="6F51AFB5"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w:t>
      </w:r>
      <w:r w:rsidRPr="00D33142">
        <w:rPr>
          <w:b/>
          <w:bCs/>
          <w:sz w:val="16"/>
          <w:szCs w:val="16"/>
        </w:rPr>
        <w:t>standards-guidelines/mobile/</w:t>
      </w:r>
    </w:p>
  </w:footnote>
  <w:footnote w:id="19">
    <w:p w14:paraId="2BCEB295"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w:t>
      </w:r>
      <w:r w:rsidRPr="00D33142">
        <w:rPr>
          <w:b/>
          <w:bCs/>
          <w:sz w:val="16"/>
          <w:szCs w:val="16"/>
        </w:rPr>
        <w:t>cognitive/</w:t>
      </w:r>
    </w:p>
  </w:footnote>
  <w:footnote w:id="20">
    <w:p w14:paraId="33A5D379"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https://www.w3.org/WAI/</w:t>
      </w:r>
      <w:r w:rsidRPr="00D33142">
        <w:rPr>
          <w:b/>
          <w:bCs/>
          <w:sz w:val="16"/>
          <w:szCs w:val="16"/>
        </w:rPr>
        <w:t>personalization/</w:t>
      </w:r>
    </w:p>
  </w:footnote>
  <w:footnote w:id="21">
    <w:p w14:paraId="7BAE9E86"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https://www.w3.org/WAI/</w:t>
      </w:r>
      <w:r w:rsidRPr="00D33142">
        <w:rPr>
          <w:b/>
          <w:bCs/>
          <w:sz w:val="16"/>
          <w:szCs w:val="16"/>
        </w:rPr>
        <w:t>pronunciation/</w:t>
      </w:r>
    </w:p>
  </w:footnote>
  <w:footnote w:id="22">
    <w:p w14:paraId="75046526"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https://www.dta.gov.au/help-and-advice/digital-service-standard/digital-service-standard-criteria</w:t>
      </w:r>
    </w:p>
  </w:footnote>
  <w:footnote w:id="23">
    <w:p w14:paraId="44A9675A"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https://www.dta.gov.au/help-and-advice/digital-service-standard/digital-service-standard-criteria/9-make-it-accessible</w:t>
      </w:r>
    </w:p>
  </w:footnote>
  <w:footnote w:id="24">
    <w:p w14:paraId="31EECDF9"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https://www.standards.org.au/standards-catalogue/sa-snz/other/it-040/as--en--301--549-colon-2020</w:t>
      </w:r>
    </w:p>
  </w:footnote>
  <w:footnote w:id="25">
    <w:p w14:paraId="3160A0F9"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w:t>
      </w:r>
      <w:r w:rsidRPr="00D33142">
        <w:rPr>
          <w:sz w:val="16"/>
          <w:szCs w:val="16"/>
          <w:lang w:val="en-US"/>
        </w:rPr>
        <w:t>https://www.ausbanking.org.au/priorities/accessibility/</w:t>
      </w:r>
    </w:p>
  </w:footnote>
  <w:footnote w:id="26">
    <w:p w14:paraId="630C504A"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https://www.ausbanking.org.au/wp-content/uploads/2020/05/ABA-Guiding_Principles_for_Accessible_Authentication.pdf</w:t>
      </w:r>
    </w:p>
  </w:footnote>
  <w:footnote w:id="27">
    <w:p w14:paraId="6A710CEF" w14:textId="77777777" w:rsidR="00201EA2" w:rsidRPr="00D33142" w:rsidRDefault="00201EA2" w:rsidP="00201EA2">
      <w:pPr>
        <w:pStyle w:val="FootnoteText"/>
        <w:spacing w:line="276" w:lineRule="auto"/>
        <w:rPr>
          <w:sz w:val="16"/>
          <w:szCs w:val="16"/>
          <w:lang w:val="en-US"/>
        </w:rPr>
      </w:pPr>
      <w:r w:rsidRPr="00D33142">
        <w:rPr>
          <w:rStyle w:val="FootnoteReference"/>
          <w:sz w:val="16"/>
          <w:szCs w:val="16"/>
        </w:rPr>
        <w:footnoteRef/>
      </w:r>
      <w:r w:rsidRPr="00D33142">
        <w:rPr>
          <w:sz w:val="16"/>
          <w:szCs w:val="16"/>
        </w:rPr>
        <w:t xml:space="preserve"> </w:t>
      </w:r>
      <w:r w:rsidRPr="00D33142">
        <w:rPr>
          <w:sz w:val="16"/>
          <w:szCs w:val="16"/>
          <w:lang w:val="en-US"/>
        </w:rPr>
        <w:t>https://www.aer.gov.au/retail-markets/guidelines-reviews/consumer-vulnerability-strategy</w:t>
      </w:r>
    </w:p>
  </w:footnote>
  <w:footnote w:id="28">
    <w:p w14:paraId="0E0A15CD" w14:textId="77777777" w:rsidR="00201EA2" w:rsidRPr="00D33142" w:rsidRDefault="00201EA2" w:rsidP="00201EA2">
      <w:pPr>
        <w:pStyle w:val="FootnoteText"/>
        <w:spacing w:line="276" w:lineRule="auto"/>
        <w:rPr>
          <w:sz w:val="16"/>
          <w:szCs w:val="16"/>
          <w:lang w:val="en-US"/>
        </w:rPr>
      </w:pPr>
      <w:r w:rsidRPr="00D33142">
        <w:rPr>
          <w:rStyle w:val="FootnoteReference"/>
          <w:sz w:val="16"/>
          <w:szCs w:val="16"/>
        </w:rPr>
        <w:footnoteRef/>
      </w:r>
      <w:r w:rsidRPr="00D33142">
        <w:rPr>
          <w:sz w:val="16"/>
          <w:szCs w:val="16"/>
        </w:rPr>
        <w:t xml:space="preserve"> </w:t>
      </w:r>
      <w:r w:rsidRPr="00D33142">
        <w:rPr>
          <w:sz w:val="16"/>
          <w:szCs w:val="16"/>
          <w:lang w:val="en-US"/>
        </w:rPr>
        <w:t>https://engage.vic.gov.au/building-strategy-regulate-consumer-vulnerability-mind</w:t>
      </w:r>
    </w:p>
  </w:footnote>
  <w:footnote w:id="29">
    <w:p w14:paraId="33F31F4F" w14:textId="77777777" w:rsidR="00201EA2" w:rsidRPr="00D33142" w:rsidRDefault="00201EA2" w:rsidP="00201EA2">
      <w:pPr>
        <w:pStyle w:val="FootnoteText"/>
        <w:spacing w:line="276" w:lineRule="auto"/>
        <w:rPr>
          <w:sz w:val="16"/>
          <w:szCs w:val="16"/>
          <w:lang w:val="en-US"/>
        </w:rPr>
      </w:pPr>
      <w:r w:rsidRPr="00D33142">
        <w:rPr>
          <w:rStyle w:val="FootnoteReference"/>
          <w:sz w:val="16"/>
          <w:szCs w:val="16"/>
        </w:rPr>
        <w:footnoteRef/>
      </w:r>
      <w:r w:rsidRPr="00D33142">
        <w:rPr>
          <w:sz w:val="16"/>
          <w:szCs w:val="16"/>
        </w:rPr>
        <w:t xml:space="preserve"> GOLD Design System https://github.com/designsystemau/gold-design-system</w:t>
      </w:r>
    </w:p>
  </w:footnote>
  <w:footnote w:id="30">
    <w:p w14:paraId="1104D844" w14:textId="77777777" w:rsidR="00201EA2" w:rsidRPr="00D33142" w:rsidRDefault="00201EA2" w:rsidP="00201EA2">
      <w:pPr>
        <w:pStyle w:val="FootnoteText"/>
        <w:spacing w:line="276" w:lineRule="auto"/>
        <w:rPr>
          <w:sz w:val="16"/>
          <w:szCs w:val="16"/>
          <w:lang w:val="en-US"/>
        </w:rPr>
      </w:pPr>
      <w:r w:rsidRPr="00D33142">
        <w:rPr>
          <w:rStyle w:val="FootnoteReference"/>
          <w:sz w:val="16"/>
          <w:szCs w:val="16"/>
        </w:rPr>
        <w:footnoteRef/>
      </w:r>
      <w:r w:rsidRPr="00D33142">
        <w:rPr>
          <w:sz w:val="16"/>
          <w:szCs w:val="16"/>
        </w:rPr>
        <w:t xml:space="preserve"> https://www.dta.gov.au/help-and-advice/about-digital-service-standard</w:t>
      </w:r>
    </w:p>
  </w:footnote>
  <w:footnote w:id="31">
    <w:p w14:paraId="01E975E2" w14:textId="77777777" w:rsidR="00201EA2" w:rsidRPr="00D33142" w:rsidRDefault="00201EA2" w:rsidP="00201EA2">
      <w:pPr>
        <w:pStyle w:val="FootnoteText"/>
        <w:spacing w:line="276" w:lineRule="auto"/>
        <w:rPr>
          <w:sz w:val="16"/>
          <w:szCs w:val="16"/>
        </w:rPr>
      </w:pPr>
      <w:r w:rsidRPr="00D33142">
        <w:rPr>
          <w:rStyle w:val="FootnoteReference"/>
          <w:sz w:val="16"/>
          <w:szCs w:val="16"/>
        </w:rPr>
        <w:footnoteRef/>
      </w:r>
      <w:r w:rsidRPr="00D33142">
        <w:rPr>
          <w:sz w:val="16"/>
          <w:szCs w:val="16"/>
        </w:rPr>
        <w:t xml:space="preserve"> Design System Au https://designsystemau.org/</w:t>
      </w:r>
    </w:p>
  </w:footnote>
  <w:footnote w:id="32">
    <w:p w14:paraId="745C1605"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https://gold.designsystemau.org/</w:t>
      </w:r>
    </w:p>
  </w:footnote>
  <w:footnote w:id="33">
    <w:p w14:paraId="0BC5C37F"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https://treasury.gov.au/sites/default/files/2021-02/cdrinquiry-final.pdf</w:t>
      </w:r>
    </w:p>
  </w:footnote>
  <w:footnote w:id="34">
    <w:p w14:paraId="33DAD240"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https://www.w3.org/WAI/standards-guidelines/wcag/new-in-22/</w:t>
      </w:r>
    </w:p>
  </w:footnote>
  <w:footnote w:id="35">
    <w:p w14:paraId="6CC0C175"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https://www.w3.org/WAI/personalization/</w:t>
      </w:r>
    </w:p>
  </w:footnote>
  <w:footnote w:id="36">
    <w:p w14:paraId="39CA8809"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w:t>
      </w:r>
      <w:r w:rsidRPr="00D33142">
        <w:rPr>
          <w:i/>
          <w:iCs/>
          <w:sz w:val="16"/>
          <w:szCs w:val="16"/>
        </w:rPr>
        <w:t>Semantic structure</w:t>
      </w:r>
      <w:r w:rsidRPr="00D33142">
        <w:rPr>
          <w:sz w:val="16"/>
          <w:szCs w:val="16"/>
        </w:rPr>
        <w:t xml:space="preserve"> refers to an organisation that represents meaning.</w:t>
      </w:r>
    </w:p>
  </w:footnote>
  <w:footnote w:id="37">
    <w:p w14:paraId="29D195B7"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w:t>
      </w:r>
      <w:r w:rsidRPr="00D33142">
        <w:rPr>
          <w:i/>
          <w:iCs/>
          <w:sz w:val="16"/>
          <w:szCs w:val="16"/>
        </w:rPr>
        <w:t>Vocabulary</w:t>
      </w:r>
      <w:r w:rsidRPr="00D33142">
        <w:rPr>
          <w:sz w:val="16"/>
          <w:szCs w:val="16"/>
        </w:rPr>
        <w:t xml:space="preserve"> is commonly defined as </w:t>
      </w:r>
      <w:r w:rsidRPr="00D33142">
        <w:rPr>
          <w:i/>
          <w:iCs/>
          <w:sz w:val="16"/>
          <w:szCs w:val="16"/>
        </w:rPr>
        <w:t>"all the words known and used by a particular person."</w:t>
      </w:r>
    </w:p>
  </w:footnote>
  <w:footnote w:id="38">
    <w:p w14:paraId="68695C27" w14:textId="77777777" w:rsidR="00201EA2" w:rsidRPr="00D33142" w:rsidRDefault="00201EA2" w:rsidP="00201EA2">
      <w:pPr>
        <w:pStyle w:val="FootnoteText"/>
        <w:rPr>
          <w:sz w:val="16"/>
          <w:szCs w:val="16"/>
        </w:rPr>
      </w:pPr>
      <w:r w:rsidRPr="00D33142">
        <w:rPr>
          <w:rStyle w:val="FootnoteReference"/>
          <w:sz w:val="16"/>
          <w:szCs w:val="16"/>
        </w:rPr>
        <w:footnoteRef/>
      </w:r>
      <w:r w:rsidRPr="00D33142">
        <w:rPr>
          <w:sz w:val="16"/>
          <w:szCs w:val="16"/>
        </w:rPr>
        <w:t xml:space="preserve"> </w:t>
      </w:r>
      <w:r w:rsidRPr="00D33142">
        <w:rPr>
          <w:i/>
          <w:iCs/>
          <w:sz w:val="16"/>
          <w:szCs w:val="16"/>
        </w:rPr>
        <w:t>Syntax</w:t>
      </w:r>
      <w:r w:rsidRPr="00D33142">
        <w:rPr>
          <w:sz w:val="16"/>
          <w:szCs w:val="16"/>
        </w:rPr>
        <w:t xml:space="preserve"> is how words combine to form larger units such as phrases and sentences.</w:t>
      </w:r>
    </w:p>
  </w:footnote>
  <w:footnote w:id="39">
    <w:p w14:paraId="2D0139BB"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https://www.w3.org/TR/wcag-3.0/</w:t>
      </w:r>
    </w:p>
  </w:footnote>
  <w:footnote w:id="40">
    <w:p w14:paraId="2310948D"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https://www.w3.org/WAI/standards-guidelines/wcag/wcag3-intro/</w:t>
      </w:r>
    </w:p>
  </w:footnote>
  <w:footnote w:id="41">
    <w:p w14:paraId="24E5DB0D"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Airports and airlines on notice after people with disability speak out about humiliating treatment https://www.abc.net.au/news/2022-05-16/reports-of-disability-discrimination-at-australian-airports/101070802</w:t>
      </w:r>
    </w:p>
  </w:footnote>
  <w:footnote w:id="42">
    <w:p w14:paraId="211135CD" w14:textId="77777777" w:rsidR="00201EA2" w:rsidRPr="00D33142" w:rsidRDefault="00201EA2" w:rsidP="00201EA2">
      <w:pPr>
        <w:pStyle w:val="FootnoteText"/>
        <w:rPr>
          <w:sz w:val="16"/>
          <w:szCs w:val="16"/>
          <w:lang w:val="en-US"/>
        </w:rPr>
      </w:pPr>
      <w:r w:rsidRPr="00D33142">
        <w:rPr>
          <w:rStyle w:val="FootnoteReference"/>
          <w:sz w:val="16"/>
          <w:szCs w:val="16"/>
        </w:rPr>
        <w:footnoteRef/>
      </w:r>
      <w:r w:rsidRPr="00D33142">
        <w:rPr>
          <w:sz w:val="16"/>
          <w:szCs w:val="16"/>
        </w:rPr>
        <w:t xml:space="preserve"> DDA: Register of Court decisions https://humanrights.gov.au/our-work/disability-rights/dda-court-decisions</w:t>
      </w:r>
    </w:p>
  </w:footnote>
  <w:footnote w:id="43">
    <w:p w14:paraId="2FB76CC2" w14:textId="77777777" w:rsidR="00D33142" w:rsidRPr="00D33142" w:rsidRDefault="00D33142" w:rsidP="00D33142">
      <w:pPr>
        <w:pStyle w:val="FootnoteText"/>
        <w:rPr>
          <w:sz w:val="16"/>
          <w:szCs w:val="16"/>
          <w:lang w:val="en-US"/>
        </w:rPr>
      </w:pPr>
      <w:r w:rsidRPr="00D33142">
        <w:rPr>
          <w:rStyle w:val="FootnoteReference"/>
          <w:sz w:val="16"/>
          <w:szCs w:val="16"/>
        </w:rPr>
        <w:footnoteRef/>
      </w:r>
      <w:r w:rsidRPr="00D33142">
        <w:rPr>
          <w:sz w:val="16"/>
          <w:szCs w:val="16"/>
        </w:rPr>
        <w:t xml:space="preserve"> https://www.un.org/development/desa/disabilities/convention-on-the-rights-of-persons-with-disabilities/convention-on-the-rights-of-persons-with-disabilities-2.html</w:t>
      </w:r>
    </w:p>
  </w:footnote>
  <w:footnote w:id="44">
    <w:p w14:paraId="65F3E535" w14:textId="77777777" w:rsidR="00D33142" w:rsidRPr="00D33142" w:rsidRDefault="00D33142" w:rsidP="00D33142">
      <w:pPr>
        <w:pStyle w:val="FootnoteText"/>
        <w:rPr>
          <w:sz w:val="16"/>
          <w:szCs w:val="16"/>
          <w:lang w:val="en-US"/>
        </w:rPr>
      </w:pPr>
      <w:r w:rsidRPr="00D33142">
        <w:rPr>
          <w:rStyle w:val="FootnoteReference"/>
          <w:sz w:val="16"/>
          <w:szCs w:val="16"/>
        </w:rPr>
        <w:footnoteRef/>
      </w:r>
      <w:r w:rsidRPr="00D33142">
        <w:rPr>
          <w:sz w:val="16"/>
          <w:szCs w:val="16"/>
        </w:rPr>
        <w:t xml:space="preserve"> https://ncaonline.org/principles-of-universal-design/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7A9"/>
    <w:multiLevelType w:val="hybridMultilevel"/>
    <w:tmpl w:val="B8E8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B1414"/>
    <w:multiLevelType w:val="hybridMultilevel"/>
    <w:tmpl w:val="042E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04C70"/>
    <w:multiLevelType w:val="hybridMultilevel"/>
    <w:tmpl w:val="51C2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147CD"/>
    <w:multiLevelType w:val="hybridMultilevel"/>
    <w:tmpl w:val="7188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3E"/>
    <w:rsid w:val="000258FF"/>
    <w:rsid w:val="00201EA2"/>
    <w:rsid w:val="00314048"/>
    <w:rsid w:val="003A28FC"/>
    <w:rsid w:val="003A4EA4"/>
    <w:rsid w:val="00466A30"/>
    <w:rsid w:val="004F481D"/>
    <w:rsid w:val="00640F3E"/>
    <w:rsid w:val="007450D1"/>
    <w:rsid w:val="00776733"/>
    <w:rsid w:val="007A5916"/>
    <w:rsid w:val="007F1002"/>
    <w:rsid w:val="00815BE4"/>
    <w:rsid w:val="00862DA2"/>
    <w:rsid w:val="008E3164"/>
    <w:rsid w:val="00946AF3"/>
    <w:rsid w:val="009C5716"/>
    <w:rsid w:val="009E543A"/>
    <w:rsid w:val="00A27524"/>
    <w:rsid w:val="00AF7B6E"/>
    <w:rsid w:val="00B65D97"/>
    <w:rsid w:val="00CC3DC2"/>
    <w:rsid w:val="00D33142"/>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49D3"/>
  <w15:chartTrackingRefBased/>
  <w15:docId w15:val="{09976745-7EC9-4424-BC64-1B6CC74B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01EA2"/>
    <w:pPr>
      <w:keepNext/>
      <w:keepLines/>
      <w:spacing w:before="240" w:after="0"/>
      <w:outlineLvl w:val="0"/>
    </w:pPr>
    <w:rPr>
      <w:rFonts w:asciiTheme="majorHAnsi" w:eastAsiaTheme="majorEastAsia" w:hAnsiTheme="majorHAnsi" w:cstheme="majorBidi"/>
      <w:color w:val="9B3701" w:themeColor="accent1" w:themeShade="BF"/>
      <w:sz w:val="32"/>
      <w:szCs w:val="32"/>
    </w:rPr>
  </w:style>
  <w:style w:type="paragraph" w:styleId="Heading2">
    <w:name w:val="heading 2"/>
    <w:basedOn w:val="Normal"/>
    <w:next w:val="Normal"/>
    <w:link w:val="Heading2Char"/>
    <w:uiPriority w:val="9"/>
    <w:semiHidden/>
    <w:unhideWhenUsed/>
    <w:qFormat/>
    <w:rsid w:val="00201EA2"/>
    <w:pPr>
      <w:keepNext/>
      <w:keepLines/>
      <w:spacing w:before="40" w:after="0"/>
      <w:outlineLvl w:val="1"/>
    </w:pPr>
    <w:rPr>
      <w:rFonts w:asciiTheme="majorHAnsi" w:eastAsiaTheme="majorEastAsia" w:hAnsiTheme="majorHAnsi" w:cstheme="majorBidi"/>
      <w:color w:val="9B3701" w:themeColor="accent1" w:themeShade="BF"/>
      <w:sz w:val="26"/>
      <w:szCs w:val="26"/>
    </w:rPr>
  </w:style>
  <w:style w:type="paragraph" w:styleId="Heading3">
    <w:name w:val="heading 3"/>
    <w:basedOn w:val="Normal"/>
    <w:next w:val="Normal"/>
    <w:link w:val="Heading3Char"/>
    <w:uiPriority w:val="9"/>
    <w:semiHidden/>
    <w:unhideWhenUsed/>
    <w:qFormat/>
    <w:rsid w:val="00201EA2"/>
    <w:pPr>
      <w:keepNext/>
      <w:keepLines/>
      <w:spacing w:before="40" w:after="0"/>
      <w:outlineLvl w:val="2"/>
    </w:pPr>
    <w:rPr>
      <w:rFonts w:asciiTheme="majorHAnsi" w:eastAsiaTheme="majorEastAsia" w:hAnsiTheme="majorHAnsi" w:cstheme="majorBidi"/>
      <w:color w:val="672401" w:themeColor="accent1" w:themeShade="7F"/>
      <w:sz w:val="24"/>
      <w:szCs w:val="24"/>
    </w:rPr>
  </w:style>
  <w:style w:type="paragraph" w:styleId="Heading4">
    <w:name w:val="heading 4"/>
    <w:basedOn w:val="Normal"/>
    <w:next w:val="Normal"/>
    <w:link w:val="Heading4Char"/>
    <w:uiPriority w:val="9"/>
    <w:semiHidden/>
    <w:unhideWhenUsed/>
    <w:qFormat/>
    <w:rsid w:val="00201EA2"/>
    <w:pPr>
      <w:keepNext/>
      <w:keepLines/>
      <w:spacing w:before="40" w:after="0"/>
      <w:outlineLvl w:val="3"/>
    </w:pPr>
    <w:rPr>
      <w:rFonts w:asciiTheme="majorHAnsi" w:eastAsiaTheme="majorEastAsia" w:hAnsiTheme="majorHAnsi" w:cstheme="majorBidi"/>
      <w:i/>
      <w:iCs/>
      <w:color w:val="9B370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33"/>
    <w:rPr>
      <w:lang w:val="en-AU"/>
    </w:rPr>
  </w:style>
  <w:style w:type="paragraph" w:styleId="Footer">
    <w:name w:val="footer"/>
    <w:basedOn w:val="Normal"/>
    <w:link w:val="FooterChar"/>
    <w:uiPriority w:val="99"/>
    <w:unhideWhenUsed/>
    <w:rsid w:val="0077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33"/>
    <w:rPr>
      <w:lang w:val="en-AU"/>
    </w:rPr>
  </w:style>
  <w:style w:type="paragraph" w:styleId="FootnoteText">
    <w:name w:val="footnote text"/>
    <w:basedOn w:val="Normal"/>
    <w:link w:val="FootnoteTextChar"/>
    <w:uiPriority w:val="99"/>
    <w:semiHidden/>
    <w:unhideWhenUsed/>
    <w:rsid w:val="00201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EA2"/>
    <w:rPr>
      <w:sz w:val="20"/>
      <w:szCs w:val="20"/>
      <w:lang w:val="en-AU"/>
    </w:rPr>
  </w:style>
  <w:style w:type="paragraph" w:styleId="EndnoteText">
    <w:name w:val="endnote text"/>
    <w:basedOn w:val="Normal"/>
    <w:link w:val="EndnoteTextChar"/>
    <w:uiPriority w:val="99"/>
    <w:semiHidden/>
    <w:unhideWhenUsed/>
    <w:rsid w:val="00201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1EA2"/>
    <w:rPr>
      <w:sz w:val="20"/>
      <w:szCs w:val="20"/>
      <w:lang w:val="en-AU"/>
    </w:rPr>
  </w:style>
  <w:style w:type="character" w:styleId="FootnoteReference">
    <w:name w:val="footnote reference"/>
    <w:basedOn w:val="DefaultParagraphFont"/>
    <w:uiPriority w:val="99"/>
    <w:rsid w:val="00201EA2"/>
    <w:rPr>
      <w:rFonts w:cs="Arial"/>
      <w:sz w:val="21"/>
      <w:vertAlign w:val="superscript"/>
    </w:rPr>
  </w:style>
  <w:style w:type="character" w:customStyle="1" w:styleId="Hyperlink1">
    <w:name w:val="Hyperlink1"/>
    <w:basedOn w:val="DefaultParagraphFont"/>
    <w:uiPriority w:val="99"/>
    <w:rsid w:val="00201EA2"/>
    <w:rPr>
      <w:color w:val="DC6900"/>
      <w:u w:val="single"/>
    </w:rPr>
  </w:style>
  <w:style w:type="character" w:styleId="Hyperlink">
    <w:name w:val="Hyperlink"/>
    <w:basedOn w:val="DefaultParagraphFont"/>
    <w:uiPriority w:val="99"/>
    <w:semiHidden/>
    <w:unhideWhenUsed/>
    <w:rsid w:val="00201EA2"/>
    <w:rPr>
      <w:color w:val="D04A02" w:themeColor="hyperlink"/>
      <w:u w:val="single"/>
    </w:rPr>
  </w:style>
  <w:style w:type="character" w:customStyle="1" w:styleId="Heading1Char">
    <w:name w:val="Heading 1 Char"/>
    <w:basedOn w:val="DefaultParagraphFont"/>
    <w:link w:val="Heading1"/>
    <w:uiPriority w:val="9"/>
    <w:rsid w:val="00201EA2"/>
    <w:rPr>
      <w:rFonts w:asciiTheme="majorHAnsi" w:eastAsiaTheme="majorEastAsia" w:hAnsiTheme="majorHAnsi" w:cstheme="majorBidi"/>
      <w:color w:val="9B3701" w:themeColor="accent1" w:themeShade="BF"/>
      <w:sz w:val="32"/>
      <w:szCs w:val="32"/>
      <w:lang w:val="en-AU"/>
    </w:rPr>
  </w:style>
  <w:style w:type="character" w:customStyle="1" w:styleId="Heading2Char">
    <w:name w:val="Heading 2 Char"/>
    <w:basedOn w:val="DefaultParagraphFont"/>
    <w:link w:val="Heading2"/>
    <w:uiPriority w:val="9"/>
    <w:semiHidden/>
    <w:rsid w:val="00201EA2"/>
    <w:rPr>
      <w:rFonts w:asciiTheme="majorHAnsi" w:eastAsiaTheme="majorEastAsia" w:hAnsiTheme="majorHAnsi" w:cstheme="majorBidi"/>
      <w:color w:val="9B3701" w:themeColor="accent1" w:themeShade="BF"/>
      <w:sz w:val="26"/>
      <w:szCs w:val="26"/>
      <w:lang w:val="en-AU"/>
    </w:rPr>
  </w:style>
  <w:style w:type="character" w:customStyle="1" w:styleId="Heading3Char">
    <w:name w:val="Heading 3 Char"/>
    <w:basedOn w:val="DefaultParagraphFont"/>
    <w:link w:val="Heading3"/>
    <w:uiPriority w:val="9"/>
    <w:semiHidden/>
    <w:rsid w:val="00201EA2"/>
    <w:rPr>
      <w:rFonts w:asciiTheme="majorHAnsi" w:eastAsiaTheme="majorEastAsia" w:hAnsiTheme="majorHAnsi" w:cstheme="majorBidi"/>
      <w:color w:val="672401" w:themeColor="accent1" w:themeShade="7F"/>
      <w:sz w:val="24"/>
      <w:szCs w:val="24"/>
      <w:lang w:val="en-AU"/>
    </w:rPr>
  </w:style>
  <w:style w:type="character" w:customStyle="1" w:styleId="Heading4Char">
    <w:name w:val="Heading 4 Char"/>
    <w:basedOn w:val="DefaultParagraphFont"/>
    <w:link w:val="Heading4"/>
    <w:uiPriority w:val="9"/>
    <w:semiHidden/>
    <w:rsid w:val="00201EA2"/>
    <w:rPr>
      <w:rFonts w:asciiTheme="majorHAnsi" w:eastAsiaTheme="majorEastAsia" w:hAnsiTheme="majorHAnsi" w:cstheme="majorBidi"/>
      <w:i/>
      <w:iCs/>
      <w:color w:val="9B370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3.org/WAI/WCAG2/supplemental/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nsumerdatastandards.gov.au/sites/consumerdatastandards.gov.au/files/uploads/2020/09/CX-Report_Phase-3-Rounds-6.pdf" TargetMode="External"/><Relationship Id="rId2" Type="http://schemas.openxmlformats.org/officeDocument/2006/relationships/hyperlink" Target="https://parlinfo.aph.gov.au/parlInfo/search/display/display.w3p;query=Id%3A%22chamber%2Fhansardr%2Fa84cce14-e82b-4b9f-8035-b3f8af36cbdf%2F0136%22" TargetMode="External"/><Relationship Id="rId1" Type="http://schemas.openxmlformats.org/officeDocument/2006/relationships/hyperlink" Target="https://parlinfo.aph.gov.au/parlInfo/search/display/display.w3p;adv=yes;db=CHAMBER;id=chamber%2Fhansardr%2Fa84cce14-e82b-4b9f-8035-b3f8af36cbdf%2F0029;orderBy=_fragment_number,doc_date-rev;page=0;query=Dataset%3Ahansardr,hansardr80%20Date%3A30%2F7%2F2019;rec=0;resCount=Default" TargetMode="External"/></Relationships>
</file>

<file path=word/theme/theme1.xml><?xml version="1.0" encoding="utf-8"?>
<a:theme xmlns:a="http://schemas.openxmlformats.org/drawingml/2006/main" name="PwC">
  <a:themeElements>
    <a:clrScheme name="PwC Colours">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Mirams (AU)</dc:creator>
  <cp:keywords/>
  <dc:description/>
  <cp:lastModifiedBy>Ruth Mirams (AU)</cp:lastModifiedBy>
  <cp:revision>5</cp:revision>
  <dcterms:created xsi:type="dcterms:W3CDTF">2022-07-06T01:11:00Z</dcterms:created>
  <dcterms:modified xsi:type="dcterms:W3CDTF">2022-07-06T01:32:00Z</dcterms:modified>
</cp:coreProperties>
</file>