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143562" w:rsidR="00673975" w:rsidP="00143562" w:rsidRDefault="00673975" w14:paraId="35D12C92" w14:textId="3BC734B9">
      <w:pPr>
        <w:pStyle w:val="Title"/>
      </w:pPr>
      <w:r w:rsidRPr="00143562">
        <w:t>2022 Accessibility Improvement Plan for the Data Standards Chair</w:t>
      </w:r>
    </w:p>
    <w:p w:rsidR="00673975" w:rsidP="001B775B" w:rsidRDefault="00673975" w14:paraId="643E6D3B" w14:textId="77777777">
      <w:r>
        <w:br w:type="page"/>
      </w:r>
    </w:p>
    <w:p w:rsidR="00FC6516" w:rsidP="001B775B" w:rsidRDefault="00FC6516" w14:paraId="72E5ECAD" w14:textId="77777777">
      <w:pPr>
        <w:pStyle w:val="Heading1"/>
      </w:pPr>
      <w:r>
        <w:lastRenderedPageBreak/>
        <w:t>Disclaimer</w:t>
      </w:r>
    </w:p>
    <w:p w:rsidRPr="001B775B" w:rsidR="00FC6516" w:rsidP="001B775B" w:rsidRDefault="00FC6516" w14:paraId="79B5A081" w14:textId="77777777">
      <w:r w:rsidRPr="001B775B">
        <w:t>This report is not intended to be relied upon by anyone other than The Department of the Treasury, of whom the Data Standards Chair is an official.  We prepared this report solely for The Department of the Treasury’s use and benefit in accordance with and for the purpose set out in our Proposal and Contract with Treasury dated 26 April 2022. In doing so, we acted exclusively for The Department of the Treasury and considered no-one else’s interests.</w:t>
      </w:r>
    </w:p>
    <w:p w:rsidRPr="001B775B" w:rsidR="00FC6516" w:rsidP="001B775B" w:rsidRDefault="00FC6516" w14:paraId="47DB7836" w14:textId="77777777"/>
    <w:p w:rsidRPr="00BD7C24" w:rsidR="00FC6516" w:rsidP="001B775B" w:rsidRDefault="00FC6516" w14:paraId="499F997E" w14:textId="77777777">
      <w:r w:rsidRPr="00BD7C24">
        <w:t>We accept no responsibility, duty, or liability:</w:t>
      </w:r>
    </w:p>
    <w:p w:rsidRPr="00BD7C24" w:rsidR="00FC6516" w:rsidP="001B775B" w:rsidRDefault="00FC6516" w14:paraId="0AD04381" w14:textId="77777777">
      <w:pPr>
        <w:pStyle w:val="ListParagraph"/>
        <w:numPr>
          <w:ilvl w:val="0"/>
          <w:numId w:val="7"/>
        </w:numPr>
        <w:rPr>
          <w:rFonts w:asciiTheme="minorHAnsi" w:hAnsiTheme="minorHAnsi" w:cstheme="minorHAnsi"/>
        </w:rPr>
      </w:pPr>
      <w:r w:rsidRPr="00BD7C24">
        <w:rPr>
          <w:rFonts w:asciiTheme="minorHAnsi" w:hAnsiTheme="minorHAnsi" w:cstheme="minorHAnsi"/>
        </w:rPr>
        <w:t>to anyone other than The Department of the Treasury in connection with this report</w:t>
      </w:r>
    </w:p>
    <w:p w:rsidRPr="00BD7C24" w:rsidR="00FC6516" w:rsidP="001B775B" w:rsidRDefault="00FC6516" w14:paraId="72BA5F56" w14:textId="77777777">
      <w:pPr>
        <w:pStyle w:val="ListParagraph"/>
        <w:numPr>
          <w:ilvl w:val="0"/>
          <w:numId w:val="7"/>
        </w:numPr>
        <w:rPr>
          <w:rFonts w:asciiTheme="minorHAnsi" w:hAnsiTheme="minorHAnsi" w:cstheme="minorHAnsi"/>
        </w:rPr>
      </w:pPr>
      <w:r w:rsidRPr="00BD7C24">
        <w:rPr>
          <w:rFonts w:asciiTheme="minorHAnsi" w:hAnsiTheme="minorHAnsi" w:cstheme="minorHAnsi"/>
        </w:rPr>
        <w:t>to Treasury for the consequences of using or relying on it for a purpose other than that referred to above.</w:t>
      </w:r>
    </w:p>
    <w:p w:rsidRPr="001B775B" w:rsidR="00FC6516" w:rsidP="001B775B" w:rsidRDefault="00FC6516" w14:paraId="72E85E46" w14:textId="77777777"/>
    <w:p w:rsidRPr="001B775B" w:rsidR="00FC6516" w:rsidP="001B775B" w:rsidRDefault="00FC6516" w14:paraId="5775A355" w14:textId="77777777">
      <w:r w:rsidRPr="001B775B">
        <w:t>We make no representation concerning the appropriateness of this report for anyone other than The Department of the Treasury. If anyone other than The Department of the Treasury chooses to use or rely on it, they do so at their own risk.</w:t>
      </w:r>
    </w:p>
    <w:p w:rsidRPr="001B775B" w:rsidR="00FC6516" w:rsidP="001B775B" w:rsidRDefault="00FC6516" w14:paraId="5707D01D" w14:textId="77777777"/>
    <w:p w:rsidRPr="001B775B" w:rsidR="00FC6516" w:rsidP="001B775B" w:rsidRDefault="00FC6516" w14:paraId="61C7D960" w14:textId="77777777">
      <w:r w:rsidRPr="001B775B">
        <w:t>This disclaimer applies:</w:t>
      </w:r>
    </w:p>
    <w:p w:rsidRPr="00BD7C24" w:rsidR="00FC6516" w:rsidP="00BD7C24" w:rsidRDefault="00FC6516" w14:paraId="4AEB26D8" w14:textId="77777777">
      <w:pPr>
        <w:pStyle w:val="ListParagraph"/>
        <w:numPr>
          <w:ilvl w:val="0"/>
          <w:numId w:val="8"/>
        </w:numPr>
        <w:rPr>
          <w:rFonts w:asciiTheme="minorHAnsi" w:hAnsiTheme="minorHAnsi" w:cstheme="minorHAnsi"/>
        </w:rPr>
      </w:pPr>
      <w:r w:rsidRPr="00BD7C24">
        <w:rPr>
          <w:rFonts w:asciiTheme="minorHAnsi" w:hAnsiTheme="minorHAnsi" w:cstheme="minorHAnsi"/>
        </w:rPr>
        <w:t>to the maximum extent permitted by law and, without limitation, to liability arising in negligence or under statute; and</w:t>
      </w:r>
    </w:p>
    <w:p w:rsidRPr="00BD7C24" w:rsidR="00FC6516" w:rsidP="00BD7C24" w:rsidRDefault="00FC6516" w14:paraId="3A3E06AF" w14:textId="77777777">
      <w:pPr>
        <w:pStyle w:val="ListParagraph"/>
        <w:numPr>
          <w:ilvl w:val="0"/>
          <w:numId w:val="8"/>
        </w:numPr>
        <w:rPr>
          <w:rFonts w:asciiTheme="minorHAnsi" w:hAnsiTheme="minorHAnsi" w:cstheme="minorHAnsi"/>
        </w:rPr>
      </w:pPr>
      <w:r w:rsidRPr="00BD7C24">
        <w:rPr>
          <w:rFonts w:asciiTheme="minorHAnsi" w:hAnsiTheme="minorHAnsi" w:cstheme="minorHAnsi"/>
        </w:rPr>
        <w:t>even if we consent to anyone other than The Department of the Treasury receiving or using this report.</w:t>
      </w:r>
    </w:p>
    <w:p w:rsidRPr="001B775B" w:rsidR="00FC6516" w:rsidP="001B775B" w:rsidRDefault="00FC6516" w14:paraId="789335B9" w14:textId="77777777"/>
    <w:p w:rsidR="001F726D" w:rsidP="001B775B" w:rsidRDefault="00FC6516" w14:paraId="53D55FC0" w14:textId="30F00D28">
      <w:r w:rsidRPr="001B775B">
        <w:t>Liability limited by a scheme approved under Professional Standards legislation</w:t>
      </w:r>
    </w:p>
    <w:p w:rsidR="001F726D" w:rsidRDefault="001F726D" w14:paraId="043581F0" w14:textId="77777777">
      <w:pPr>
        <w:spacing w:after="160" w:line="259" w:lineRule="auto"/>
      </w:pPr>
      <w:r>
        <w:br w:type="page"/>
      </w:r>
    </w:p>
    <w:p w:rsidRPr="00427E23" w:rsidR="0001620A" w:rsidP="00793773" w:rsidRDefault="0001620A" w14:paraId="01C94631" w14:textId="77777777">
      <w:pPr>
        <w:pStyle w:val="Heading1"/>
      </w:pPr>
      <w:bookmarkStart w:name="_Toc115693165" w:id="0"/>
      <w:bookmarkStart w:name="_Toc290460141" w:id="1"/>
      <w:bookmarkStart w:name="_Toc292795890" w:id="2"/>
      <w:bookmarkStart w:name="_Toc292795900" w:id="3"/>
      <w:bookmarkStart w:name="_Toc292795947" w:id="4"/>
      <w:bookmarkStart w:name="_Toc292795954" w:id="5"/>
      <w:bookmarkStart w:name="_Toc294534323" w:id="6"/>
      <w:bookmarkStart w:name="_Toc294613504" w:id="7"/>
      <w:bookmarkStart w:name="_Toc507858200" w:id="8"/>
      <w:bookmarkStart w:name="_Toc509222436" w:id="9"/>
      <w:r>
        <w:lastRenderedPageBreak/>
        <w:t>Purpose statement</w:t>
      </w:r>
      <w:bookmarkEnd w:id="0"/>
    </w:p>
    <w:p w:rsidRPr="00793773" w:rsidR="0001620A" w:rsidP="0001620A" w:rsidRDefault="0001620A" w14:paraId="2196838B" w14:textId="77777777">
      <w:pPr>
        <w:pStyle w:val="PwCNormal"/>
        <w:numPr>
          <w:ilvl w:val="0"/>
          <w:numId w:val="0"/>
        </w:numPr>
        <w:rPr>
          <w:rFonts w:asciiTheme="minorHAnsi" w:hAnsiTheme="minorHAnsi" w:cstheme="minorHAnsi"/>
          <w:b/>
          <w:bCs/>
          <w:lang w:val="en-GB"/>
        </w:rPr>
      </w:pPr>
      <w:r w:rsidRPr="00793773">
        <w:rPr>
          <w:rFonts w:asciiTheme="minorHAnsi" w:hAnsiTheme="minorHAnsi" w:cstheme="minorHAnsi"/>
          <w:b/>
          <w:bCs/>
          <w:lang w:val="en-GB"/>
        </w:rPr>
        <w:t>About this report</w:t>
      </w:r>
    </w:p>
    <w:p w:rsidRPr="00793773" w:rsidR="0001620A" w:rsidP="0001620A" w:rsidRDefault="0001620A" w14:paraId="264138C0" w14:textId="77777777">
      <w:pPr>
        <w:pStyle w:val="PwCNormal"/>
        <w:numPr>
          <w:ilvl w:val="0"/>
          <w:numId w:val="0"/>
        </w:numPr>
        <w:rPr>
          <w:rFonts w:asciiTheme="minorHAnsi" w:hAnsiTheme="minorHAnsi" w:cstheme="minorHAnsi"/>
          <w:lang w:val="en-GB"/>
        </w:rPr>
      </w:pPr>
      <w:r w:rsidRPr="00793773">
        <w:rPr>
          <w:rFonts w:asciiTheme="minorHAnsi" w:hAnsiTheme="minorHAnsi" w:cstheme="minorHAnsi"/>
          <w:lang w:val="en-GB"/>
        </w:rPr>
        <w:t>The Data Standards Chair (</w:t>
      </w:r>
      <w:r w:rsidRPr="00793773">
        <w:rPr>
          <w:rFonts w:asciiTheme="minorHAnsi" w:hAnsiTheme="minorHAnsi" w:cstheme="minorHAnsi"/>
          <w:b/>
          <w:bCs/>
          <w:lang w:val="en-GB"/>
        </w:rPr>
        <w:t>Chair</w:t>
      </w:r>
      <w:r w:rsidRPr="00793773">
        <w:rPr>
          <w:rFonts w:asciiTheme="minorHAnsi" w:hAnsiTheme="minorHAnsi" w:cstheme="minorHAnsi"/>
          <w:lang w:val="en-GB"/>
        </w:rPr>
        <w:t>), an official of the Department of the Treasury (</w:t>
      </w:r>
      <w:r w:rsidRPr="00793773">
        <w:rPr>
          <w:rFonts w:asciiTheme="minorHAnsi" w:hAnsiTheme="minorHAnsi" w:cstheme="minorHAnsi"/>
          <w:b/>
          <w:bCs/>
          <w:lang w:val="en-GB"/>
        </w:rPr>
        <w:t>Treasury</w:t>
      </w:r>
      <w:r w:rsidRPr="00793773">
        <w:rPr>
          <w:rFonts w:asciiTheme="minorHAnsi" w:hAnsiTheme="minorHAnsi" w:cstheme="minorHAnsi"/>
          <w:lang w:val="en-GB"/>
        </w:rPr>
        <w:t>), commissioned PwC’s Indigenous Consulting (</w:t>
      </w:r>
      <w:r w:rsidRPr="00793773">
        <w:rPr>
          <w:rFonts w:asciiTheme="minorHAnsi" w:hAnsiTheme="minorHAnsi" w:cstheme="minorHAnsi"/>
          <w:b/>
          <w:bCs/>
          <w:lang w:val="en-GB"/>
        </w:rPr>
        <w:t>PIC</w:t>
      </w:r>
      <w:r w:rsidRPr="00793773">
        <w:rPr>
          <w:rFonts w:asciiTheme="minorHAnsi" w:hAnsiTheme="minorHAnsi" w:cstheme="minorHAnsi"/>
          <w:lang w:val="en-GB"/>
        </w:rPr>
        <w:t>) together with the Centre for Inclusive Design (</w:t>
      </w:r>
      <w:r w:rsidRPr="00793773">
        <w:rPr>
          <w:rFonts w:asciiTheme="minorHAnsi" w:hAnsiTheme="minorHAnsi" w:cstheme="minorHAnsi"/>
          <w:b/>
          <w:bCs/>
          <w:lang w:val="en-GB"/>
        </w:rPr>
        <w:t>CFID</w:t>
      </w:r>
      <w:r w:rsidRPr="00793773">
        <w:rPr>
          <w:rFonts w:asciiTheme="minorHAnsi" w:hAnsiTheme="minorHAnsi" w:cstheme="minorHAnsi"/>
          <w:lang w:val="en-GB"/>
        </w:rPr>
        <w:t>) to assess accessibility and usability as related to the Data Standards (also known as the Consumer Data Standards).</w:t>
      </w:r>
    </w:p>
    <w:p w:rsidRPr="00793773" w:rsidR="0001620A" w:rsidP="0001620A" w:rsidRDefault="0001620A" w14:paraId="2F2AF2A5" w14:textId="77777777">
      <w:pPr>
        <w:pStyle w:val="PwCNormal"/>
        <w:numPr>
          <w:ilvl w:val="0"/>
          <w:numId w:val="0"/>
        </w:numPr>
        <w:rPr>
          <w:rFonts w:asciiTheme="minorHAnsi" w:hAnsiTheme="minorHAnsi" w:cstheme="minorHAnsi"/>
          <w:lang w:val="en-GB"/>
        </w:rPr>
      </w:pPr>
      <w:r w:rsidRPr="00793773">
        <w:rPr>
          <w:rFonts w:asciiTheme="minorHAnsi" w:hAnsiTheme="minorHAnsi" w:cstheme="minorHAnsi"/>
          <w:lang w:val="en-GB"/>
        </w:rPr>
        <w:t>This report is the final output of the project.</w:t>
      </w:r>
    </w:p>
    <w:p w:rsidRPr="00793773" w:rsidR="0001620A" w:rsidP="0001620A" w:rsidRDefault="0001620A" w14:paraId="1DAB7611" w14:textId="77777777">
      <w:pPr>
        <w:pStyle w:val="PwCNormal"/>
        <w:numPr>
          <w:ilvl w:val="0"/>
          <w:numId w:val="0"/>
        </w:numPr>
        <w:rPr>
          <w:rFonts w:asciiTheme="minorHAnsi" w:hAnsiTheme="minorHAnsi" w:cstheme="minorHAnsi"/>
          <w:b/>
          <w:bCs/>
          <w:lang w:val="en-GB"/>
        </w:rPr>
      </w:pPr>
      <w:r w:rsidRPr="00793773">
        <w:rPr>
          <w:rFonts w:asciiTheme="minorHAnsi" w:hAnsiTheme="minorHAnsi" w:cstheme="minorHAnsi"/>
          <w:b/>
          <w:bCs/>
          <w:lang w:val="en-GB"/>
        </w:rPr>
        <w:t>Objectives of the report</w:t>
      </w:r>
    </w:p>
    <w:p w:rsidRPr="00793773" w:rsidR="0001620A" w:rsidP="0001620A" w:rsidRDefault="0001620A" w14:paraId="55DD20A6" w14:textId="77777777">
      <w:pPr>
        <w:pStyle w:val="PwCNormal"/>
        <w:numPr>
          <w:ilvl w:val="0"/>
          <w:numId w:val="0"/>
        </w:numPr>
        <w:rPr>
          <w:rFonts w:asciiTheme="minorHAnsi" w:hAnsiTheme="minorHAnsi" w:cstheme="minorHAnsi"/>
          <w:lang w:val="en-GB"/>
        </w:rPr>
      </w:pPr>
      <w:r w:rsidRPr="00793773">
        <w:rPr>
          <w:rFonts w:asciiTheme="minorHAnsi" w:hAnsiTheme="minorHAnsi" w:cstheme="minorHAnsi"/>
          <w:lang w:val="en-GB"/>
        </w:rPr>
        <w:t>The objective of this report is to provide findings of an Accessibility Review of the Consumer Experience (</w:t>
      </w:r>
      <w:r w:rsidRPr="00793773">
        <w:rPr>
          <w:rFonts w:asciiTheme="minorHAnsi" w:hAnsiTheme="minorHAnsi" w:cstheme="minorHAnsi"/>
          <w:b/>
          <w:bCs/>
          <w:lang w:val="en-GB"/>
        </w:rPr>
        <w:t>CX</w:t>
      </w:r>
      <w:r w:rsidRPr="00793773">
        <w:rPr>
          <w:rFonts w:asciiTheme="minorHAnsi" w:hAnsiTheme="minorHAnsi" w:cstheme="minorHAnsi"/>
          <w:lang w:val="en-GB"/>
        </w:rPr>
        <w:t>) Standards, and the Consumer Data Right (</w:t>
      </w:r>
      <w:r w:rsidRPr="00793773">
        <w:rPr>
          <w:rFonts w:asciiTheme="minorHAnsi" w:hAnsiTheme="minorHAnsi" w:cstheme="minorHAnsi"/>
          <w:b/>
          <w:bCs/>
          <w:lang w:val="en-GB"/>
        </w:rPr>
        <w:t>CDR</w:t>
      </w:r>
      <w:r w:rsidRPr="00793773">
        <w:rPr>
          <w:rFonts w:asciiTheme="minorHAnsi" w:hAnsiTheme="minorHAnsi" w:cstheme="minorHAnsi"/>
          <w:lang w:val="en-GB"/>
        </w:rPr>
        <w:t>) Consent Model.  This Review was conducted on the Accessibility benchmarks identified in the Accessibility Obligations and Conventions Framework for the Data Standards Chair (</w:t>
      </w:r>
      <w:r w:rsidRPr="00793773">
        <w:rPr>
          <w:rFonts w:asciiTheme="minorHAnsi" w:hAnsiTheme="minorHAnsi" w:cstheme="minorHAnsi"/>
          <w:b/>
          <w:bCs/>
          <w:lang w:val="en-GB"/>
        </w:rPr>
        <w:t>Background Report</w:t>
      </w:r>
      <w:r w:rsidRPr="00793773">
        <w:rPr>
          <w:rFonts w:asciiTheme="minorHAnsi" w:hAnsiTheme="minorHAnsi" w:cstheme="minorHAnsi"/>
          <w:lang w:val="en-GB"/>
        </w:rPr>
        <w:t xml:space="preserve">), previously delivered to the Chair.  </w:t>
      </w:r>
    </w:p>
    <w:p w:rsidRPr="00793773" w:rsidR="0001620A" w:rsidP="0001620A" w:rsidRDefault="0001620A" w14:paraId="1F3A5C2B" w14:textId="77777777">
      <w:pPr>
        <w:pStyle w:val="PwCNormal"/>
        <w:numPr>
          <w:ilvl w:val="0"/>
          <w:numId w:val="0"/>
        </w:numPr>
        <w:rPr>
          <w:rFonts w:asciiTheme="minorHAnsi" w:hAnsiTheme="minorHAnsi" w:cstheme="minorHAnsi"/>
          <w:lang w:val="en-GB"/>
        </w:rPr>
      </w:pPr>
      <w:r w:rsidRPr="00793773">
        <w:rPr>
          <w:rFonts w:asciiTheme="minorHAnsi" w:hAnsiTheme="minorHAnsi" w:cstheme="minorHAnsi"/>
          <w:lang w:val="en-GB"/>
        </w:rPr>
        <w:t>The other objective of this report is to outline an Improvement Plan, which consists of recommendations for the Chair, with the intent of prioritising and maximising efforts applied against the obligations outlined in the Background Report, and the findings of the Review.</w:t>
      </w:r>
    </w:p>
    <w:p w:rsidRPr="00793773" w:rsidR="0001620A" w:rsidP="0001620A" w:rsidRDefault="0001620A" w14:paraId="1CEEABA0" w14:textId="77777777">
      <w:pPr>
        <w:pStyle w:val="PwCNormal"/>
        <w:numPr>
          <w:ilvl w:val="0"/>
          <w:numId w:val="0"/>
        </w:numPr>
        <w:rPr>
          <w:rFonts w:asciiTheme="minorHAnsi" w:hAnsiTheme="minorHAnsi" w:cstheme="minorHAnsi"/>
          <w:b/>
          <w:bCs/>
          <w:lang w:val="en-GB"/>
        </w:rPr>
      </w:pPr>
      <w:r w:rsidRPr="00793773">
        <w:rPr>
          <w:rFonts w:asciiTheme="minorHAnsi" w:hAnsiTheme="minorHAnsi" w:cstheme="minorHAnsi"/>
          <w:b/>
          <w:bCs/>
          <w:lang w:val="en-GB"/>
        </w:rPr>
        <w:t>Scope of this report</w:t>
      </w:r>
    </w:p>
    <w:p w:rsidRPr="00793773" w:rsidR="0001620A" w:rsidP="0001620A" w:rsidRDefault="0001620A" w14:paraId="0B3ACFFA" w14:textId="77777777">
      <w:pPr>
        <w:pStyle w:val="PwCNormal"/>
        <w:numPr>
          <w:ilvl w:val="0"/>
          <w:numId w:val="0"/>
        </w:numPr>
        <w:rPr>
          <w:rFonts w:asciiTheme="minorHAnsi" w:hAnsiTheme="minorHAnsi" w:cstheme="minorHAnsi"/>
          <w:lang w:val="en-GB"/>
        </w:rPr>
      </w:pPr>
      <w:r w:rsidRPr="00793773">
        <w:rPr>
          <w:rFonts w:asciiTheme="minorHAnsi" w:hAnsiTheme="minorHAnsi" w:cstheme="minorHAnsi"/>
          <w:lang w:val="en-GB"/>
        </w:rPr>
        <w:t>The report documents:</w:t>
      </w:r>
    </w:p>
    <w:p w:rsidRPr="00793773" w:rsidR="0001620A" w:rsidP="0001620A" w:rsidRDefault="0001620A" w14:paraId="6A495BCC" w14:textId="77777777">
      <w:pPr>
        <w:pStyle w:val="PwCNormal"/>
        <w:numPr>
          <w:ilvl w:val="0"/>
          <w:numId w:val="10"/>
        </w:numPr>
        <w:rPr>
          <w:rFonts w:asciiTheme="minorHAnsi" w:hAnsiTheme="minorHAnsi" w:cstheme="minorHAnsi"/>
        </w:rPr>
      </w:pPr>
      <w:r w:rsidRPr="00793773">
        <w:rPr>
          <w:rFonts w:asciiTheme="minorHAnsi" w:hAnsiTheme="minorHAnsi" w:cstheme="minorHAnsi"/>
        </w:rPr>
        <w:t xml:space="preserve">Findings from the accessibility </w:t>
      </w:r>
      <w:proofErr w:type="gramStart"/>
      <w:r w:rsidRPr="00793773">
        <w:rPr>
          <w:rFonts w:asciiTheme="minorHAnsi" w:hAnsiTheme="minorHAnsi" w:cstheme="minorHAnsi"/>
        </w:rPr>
        <w:t>review;</w:t>
      </w:r>
      <w:proofErr w:type="gramEnd"/>
    </w:p>
    <w:p w:rsidRPr="00793773" w:rsidR="0001620A" w:rsidP="0001620A" w:rsidRDefault="0001620A" w14:paraId="1B5380DF" w14:textId="77777777">
      <w:pPr>
        <w:pStyle w:val="PwCNormal"/>
        <w:numPr>
          <w:ilvl w:val="0"/>
          <w:numId w:val="10"/>
        </w:numPr>
        <w:rPr>
          <w:rFonts w:asciiTheme="minorHAnsi" w:hAnsiTheme="minorHAnsi" w:cstheme="minorHAnsi"/>
        </w:rPr>
      </w:pPr>
      <w:r w:rsidRPr="00793773">
        <w:rPr>
          <w:rFonts w:asciiTheme="minorHAnsi" w:hAnsiTheme="minorHAnsi" w:cstheme="minorHAnsi"/>
        </w:rPr>
        <w:t xml:space="preserve">Findings from heuristics </w:t>
      </w:r>
      <w:proofErr w:type="gramStart"/>
      <w:r w:rsidRPr="00793773">
        <w:rPr>
          <w:rFonts w:asciiTheme="minorHAnsi" w:hAnsiTheme="minorHAnsi" w:cstheme="minorHAnsi"/>
        </w:rPr>
        <w:t>review;</w:t>
      </w:r>
      <w:proofErr w:type="gramEnd"/>
    </w:p>
    <w:p w:rsidRPr="00793773" w:rsidR="0001620A" w:rsidP="0001620A" w:rsidRDefault="0001620A" w14:paraId="6D83A3BB" w14:textId="77777777">
      <w:pPr>
        <w:pStyle w:val="PwCNormal"/>
        <w:numPr>
          <w:ilvl w:val="0"/>
          <w:numId w:val="10"/>
        </w:numPr>
        <w:rPr>
          <w:rFonts w:asciiTheme="minorHAnsi" w:hAnsiTheme="minorHAnsi" w:cstheme="minorHAnsi"/>
        </w:rPr>
      </w:pPr>
      <w:r w:rsidRPr="00793773">
        <w:rPr>
          <w:rFonts w:asciiTheme="minorHAnsi" w:hAnsiTheme="minorHAnsi" w:cstheme="minorHAnsi"/>
        </w:rPr>
        <w:t xml:space="preserve">Outline of the prototype, including rationale and build </w:t>
      </w:r>
      <w:proofErr w:type="gramStart"/>
      <w:r w:rsidRPr="00793773">
        <w:rPr>
          <w:rFonts w:asciiTheme="minorHAnsi" w:hAnsiTheme="minorHAnsi" w:cstheme="minorHAnsi"/>
        </w:rPr>
        <w:t>details;</w:t>
      </w:r>
      <w:proofErr w:type="gramEnd"/>
    </w:p>
    <w:p w:rsidRPr="00793773" w:rsidR="0001620A" w:rsidP="0001620A" w:rsidRDefault="0001620A" w14:paraId="6E2D2A07" w14:textId="77777777">
      <w:pPr>
        <w:pStyle w:val="PwCNormal"/>
        <w:numPr>
          <w:ilvl w:val="0"/>
          <w:numId w:val="10"/>
        </w:numPr>
        <w:rPr>
          <w:rFonts w:asciiTheme="minorHAnsi" w:hAnsiTheme="minorHAnsi" w:cstheme="minorHAnsi"/>
        </w:rPr>
      </w:pPr>
      <w:r w:rsidRPr="00793773">
        <w:rPr>
          <w:rFonts w:asciiTheme="minorHAnsi" w:hAnsiTheme="minorHAnsi" w:cstheme="minorHAnsi"/>
        </w:rPr>
        <w:t xml:space="preserve">Findings from consumer </w:t>
      </w:r>
      <w:proofErr w:type="gramStart"/>
      <w:r w:rsidRPr="00793773">
        <w:rPr>
          <w:rFonts w:asciiTheme="minorHAnsi" w:hAnsiTheme="minorHAnsi" w:cstheme="minorHAnsi"/>
        </w:rPr>
        <w:t>testing;</w:t>
      </w:r>
      <w:proofErr w:type="gramEnd"/>
    </w:p>
    <w:p w:rsidRPr="00793773" w:rsidR="0001620A" w:rsidP="0001620A" w:rsidRDefault="0001620A" w14:paraId="55B23A5D" w14:textId="77777777">
      <w:pPr>
        <w:pStyle w:val="PwCNormal"/>
        <w:numPr>
          <w:ilvl w:val="0"/>
          <w:numId w:val="10"/>
        </w:numPr>
        <w:rPr>
          <w:rFonts w:asciiTheme="minorHAnsi" w:hAnsiTheme="minorHAnsi" w:cstheme="minorHAnsi"/>
          <w:lang w:val="en-GB"/>
        </w:rPr>
      </w:pPr>
      <w:r w:rsidRPr="00793773">
        <w:rPr>
          <w:rFonts w:asciiTheme="minorHAnsi" w:hAnsiTheme="minorHAnsi" w:cstheme="minorHAnsi"/>
          <w:lang w:val="en-GB"/>
        </w:rPr>
        <w:t>recommendations to improve Accessibility, Usability, and Inclusivity within the CDR; and</w:t>
      </w:r>
    </w:p>
    <w:p w:rsidRPr="00793773" w:rsidR="0001620A" w:rsidP="0001620A" w:rsidRDefault="0001620A" w14:paraId="3175EA50" w14:textId="77777777">
      <w:pPr>
        <w:pStyle w:val="PwCNormal"/>
        <w:numPr>
          <w:ilvl w:val="0"/>
          <w:numId w:val="10"/>
        </w:numPr>
        <w:rPr>
          <w:rFonts w:asciiTheme="minorHAnsi" w:hAnsiTheme="minorHAnsi" w:cstheme="minorHAnsi"/>
        </w:rPr>
      </w:pPr>
      <w:r w:rsidRPr="00793773">
        <w:rPr>
          <w:rFonts w:asciiTheme="minorHAnsi" w:hAnsiTheme="minorHAnsi" w:cstheme="minorHAnsi"/>
        </w:rPr>
        <w:t>an improvement plan based on these recommendations.</w:t>
      </w:r>
    </w:p>
    <w:p w:rsidRPr="00793773" w:rsidR="0001620A" w:rsidP="0001620A" w:rsidRDefault="0001620A" w14:paraId="13AAC174" w14:textId="77777777">
      <w:pPr>
        <w:pStyle w:val="PwCNormal"/>
        <w:numPr>
          <w:ilvl w:val="0"/>
          <w:numId w:val="0"/>
        </w:numPr>
        <w:rPr>
          <w:rFonts w:asciiTheme="minorHAnsi" w:hAnsiTheme="minorHAnsi" w:cstheme="minorHAnsi"/>
        </w:rPr>
      </w:pPr>
      <w:r w:rsidRPr="00793773">
        <w:rPr>
          <w:rFonts w:asciiTheme="minorHAnsi" w:hAnsiTheme="minorHAnsi" w:cstheme="minorHAnsi"/>
        </w:rPr>
        <w:t>The scope of this report does not include a comprehensive legal review, nor does it include a detailed implementation plan for recommendations.</w:t>
      </w:r>
    </w:p>
    <w:p w:rsidRPr="00793773" w:rsidR="0001620A" w:rsidP="0001620A" w:rsidRDefault="0001620A" w14:paraId="18CC3012" w14:textId="77777777">
      <w:pPr>
        <w:pStyle w:val="PwCNormal"/>
        <w:numPr>
          <w:ilvl w:val="0"/>
          <w:numId w:val="0"/>
        </w:numPr>
        <w:rPr>
          <w:rFonts w:asciiTheme="minorHAnsi" w:hAnsiTheme="minorHAnsi" w:cstheme="minorHAnsi"/>
          <w:lang w:val="en-GB"/>
        </w:rPr>
      </w:pPr>
      <w:r w:rsidRPr="00793773">
        <w:rPr>
          <w:rFonts w:asciiTheme="minorHAnsi" w:hAnsiTheme="minorHAnsi" w:cstheme="minorHAnsi"/>
          <w:lang w:val="en-GB"/>
        </w:rPr>
        <w:t xml:space="preserve">The first draft version of this report was issued to Treasury in June 2022, with significant feedback being received from members of the Data Standards Body over </w:t>
      </w:r>
      <w:proofErr w:type="gramStart"/>
      <w:r w:rsidRPr="00793773">
        <w:rPr>
          <w:rFonts w:asciiTheme="minorHAnsi" w:hAnsiTheme="minorHAnsi" w:cstheme="minorHAnsi"/>
          <w:lang w:val="en-GB"/>
        </w:rPr>
        <w:t>a number of</w:t>
      </w:r>
      <w:proofErr w:type="gramEnd"/>
      <w:r w:rsidRPr="00793773">
        <w:rPr>
          <w:rFonts w:asciiTheme="minorHAnsi" w:hAnsiTheme="minorHAnsi" w:cstheme="minorHAnsi"/>
          <w:lang w:val="en-GB"/>
        </w:rPr>
        <w:t xml:space="preserve"> weeks.</w:t>
      </w:r>
    </w:p>
    <w:p w:rsidRPr="00793773" w:rsidR="0001620A" w:rsidP="0001620A" w:rsidRDefault="0001620A" w14:paraId="6C5CED77" w14:textId="77777777">
      <w:pPr>
        <w:pStyle w:val="PwCNormal"/>
        <w:numPr>
          <w:ilvl w:val="0"/>
          <w:numId w:val="0"/>
        </w:numPr>
        <w:rPr>
          <w:rFonts w:asciiTheme="minorHAnsi" w:hAnsiTheme="minorHAnsi" w:cstheme="minorHAnsi"/>
          <w:lang w:val="en-GB"/>
        </w:rPr>
      </w:pPr>
      <w:r w:rsidRPr="00793773">
        <w:rPr>
          <w:rFonts w:asciiTheme="minorHAnsi" w:hAnsiTheme="minorHAnsi" w:cstheme="minorHAnsi"/>
          <w:lang w:val="en-GB"/>
        </w:rPr>
        <w:t>The updated final version shared with Treasury on 05 October 2022.</w:t>
      </w:r>
    </w:p>
    <w:p w:rsidRPr="00793773" w:rsidR="0001620A" w:rsidP="0001620A" w:rsidRDefault="0001620A" w14:paraId="440EE0A5" w14:textId="77777777">
      <w:pPr>
        <w:pStyle w:val="PwCNormal"/>
        <w:numPr>
          <w:ilvl w:val="0"/>
          <w:numId w:val="0"/>
        </w:numPr>
        <w:rPr>
          <w:rFonts w:asciiTheme="minorHAnsi" w:hAnsiTheme="minorHAnsi" w:cstheme="minorHAnsi"/>
          <w:b/>
          <w:bCs/>
          <w:lang w:val="en-GB"/>
        </w:rPr>
      </w:pPr>
      <w:r w:rsidRPr="00793773">
        <w:rPr>
          <w:rFonts w:asciiTheme="minorHAnsi" w:hAnsiTheme="minorHAnsi" w:cstheme="minorHAnsi"/>
          <w:b/>
          <w:bCs/>
          <w:lang w:val="en-GB"/>
        </w:rPr>
        <w:t>Intended audience</w:t>
      </w:r>
    </w:p>
    <w:p w:rsidR="0001620A" w:rsidP="0001620A" w:rsidRDefault="0001620A" w14:paraId="09CD01DF" w14:textId="77777777">
      <w:pPr>
        <w:pStyle w:val="PwCNormal"/>
        <w:rPr>
          <w:lang w:val="en-GB"/>
        </w:rPr>
      </w:pPr>
      <w:r w:rsidRPr="00793773">
        <w:rPr>
          <w:rFonts w:asciiTheme="minorHAnsi" w:hAnsiTheme="minorHAnsi" w:cstheme="minorHAnsi"/>
          <w:lang w:val="en-GB"/>
        </w:rPr>
        <w:t>The Chair is the primary owner and audience of this report, and they can use the report to guide decisions about Accessibility, Usability, and Inclusion. The report is also intended to be published and shared with external stakeholders as part of the Chair’s requirements to consult.</w:t>
      </w:r>
      <w:r>
        <w:rPr>
          <w:lang w:val="en-GB"/>
        </w:rPr>
        <w:br w:type="page"/>
      </w:r>
    </w:p>
    <w:p w:rsidRPr="005963B7" w:rsidR="0001620A" w:rsidP="005963B7" w:rsidRDefault="0001620A" w14:paraId="18CD7904" w14:textId="77777777">
      <w:pPr>
        <w:pStyle w:val="Heading1"/>
      </w:pPr>
      <w:bookmarkStart w:name="_Toc115693166" w:id="10"/>
      <w:r w:rsidRPr="005963B7">
        <w:lastRenderedPageBreak/>
        <w:t>Executive summary</w:t>
      </w:r>
      <w:bookmarkEnd w:id="1"/>
      <w:bookmarkEnd w:id="2"/>
      <w:bookmarkEnd w:id="3"/>
      <w:bookmarkEnd w:id="4"/>
      <w:bookmarkEnd w:id="5"/>
      <w:bookmarkEnd w:id="6"/>
      <w:bookmarkEnd w:id="7"/>
      <w:bookmarkEnd w:id="8"/>
      <w:bookmarkEnd w:id="9"/>
      <w:bookmarkEnd w:id="10"/>
    </w:p>
    <w:p w:rsidRPr="005963B7" w:rsidR="0001620A" w:rsidP="0001620A" w:rsidRDefault="0001620A" w14:paraId="1DA8605A" w14:textId="77777777">
      <w:pPr>
        <w:pStyle w:val="PwCNormal-Single"/>
        <w:rPr>
          <w:rFonts w:asciiTheme="minorHAnsi" w:hAnsiTheme="minorHAnsi" w:cstheme="minorHAnsi"/>
        </w:rPr>
      </w:pPr>
      <w:r w:rsidRPr="005963B7">
        <w:rPr>
          <w:rFonts w:asciiTheme="minorHAnsi" w:hAnsiTheme="minorHAnsi" w:cstheme="minorHAnsi"/>
        </w:rPr>
        <w:t>The Chair has a legal requirement to ensure digital services are usable and accessible to people with disabilities (see the Disability Discrimination Act 1992).</w:t>
      </w:r>
      <w:r w:rsidRPr="005963B7">
        <w:rPr>
          <w:rStyle w:val="FootnoteReference"/>
          <w:rFonts w:asciiTheme="minorHAnsi" w:hAnsiTheme="minorHAnsi" w:cstheme="minorHAnsi"/>
        </w:rPr>
        <w:footnoteReference w:id="2"/>
      </w:r>
    </w:p>
    <w:p w:rsidRPr="005963B7" w:rsidR="0001620A" w:rsidP="0001620A" w:rsidRDefault="0001620A" w14:paraId="5F8524A0" w14:textId="77777777">
      <w:pPr>
        <w:pStyle w:val="PwCNormal-Single"/>
        <w:rPr>
          <w:rFonts w:asciiTheme="minorHAnsi" w:hAnsiTheme="minorHAnsi" w:cstheme="minorHAnsi"/>
        </w:rPr>
      </w:pPr>
    </w:p>
    <w:p w:rsidRPr="005963B7" w:rsidR="0001620A" w:rsidP="0001620A" w:rsidRDefault="0001620A" w14:paraId="11DAF65A" w14:textId="77777777">
      <w:pPr>
        <w:pStyle w:val="PwCNormal-Single"/>
        <w:rPr>
          <w:rFonts w:asciiTheme="minorHAnsi" w:hAnsiTheme="minorHAnsi" w:cstheme="minorHAnsi"/>
        </w:rPr>
      </w:pPr>
      <w:r w:rsidRPr="005963B7">
        <w:rPr>
          <w:rFonts w:asciiTheme="minorHAnsi" w:hAnsiTheme="minorHAnsi" w:cstheme="minorHAnsi"/>
        </w:rPr>
        <w:t>The legislative function of the Chair, an Official of the Treasury, is to make and review Data Standards that define the format and process for how Consumer Data Right (</w:t>
      </w:r>
      <w:r w:rsidRPr="005963B7">
        <w:rPr>
          <w:rFonts w:asciiTheme="minorHAnsi" w:hAnsiTheme="minorHAnsi" w:cstheme="minorHAnsi"/>
          <w:b/>
        </w:rPr>
        <w:t>CDR</w:t>
      </w:r>
      <w:r w:rsidRPr="005963B7">
        <w:rPr>
          <w:rFonts w:asciiTheme="minorHAnsi" w:hAnsiTheme="minorHAnsi" w:cstheme="minorHAnsi"/>
        </w:rPr>
        <w:t xml:space="preserve">) data is shared, including consumer data – in other words, how this is disclosed - under the </w:t>
      </w:r>
      <w:proofErr w:type="gramStart"/>
      <w:r w:rsidRPr="005963B7">
        <w:rPr>
          <w:rFonts w:asciiTheme="minorHAnsi" w:hAnsiTheme="minorHAnsi" w:cstheme="minorHAnsi"/>
        </w:rPr>
        <w:t>CDR;</w:t>
      </w:r>
      <w:proofErr w:type="gramEnd"/>
      <w:r w:rsidRPr="005963B7">
        <w:rPr>
          <w:rFonts w:asciiTheme="minorHAnsi" w:hAnsiTheme="minorHAnsi" w:cstheme="minorHAnsi"/>
        </w:rPr>
        <w:t xml:space="preserve"> with their consent. Informed consent is central to the operation of this Right. Consequently, if the process whereby a consumer grants their consent is inaccessible, then their Right is also inaccessible. </w:t>
      </w:r>
    </w:p>
    <w:p w:rsidRPr="005963B7" w:rsidR="0001620A" w:rsidP="0001620A" w:rsidRDefault="0001620A" w14:paraId="1829A793" w14:textId="77777777">
      <w:pPr>
        <w:pStyle w:val="PwCNormal-Single"/>
        <w:rPr>
          <w:rFonts w:asciiTheme="minorHAnsi" w:hAnsiTheme="minorHAnsi" w:cstheme="minorHAnsi"/>
          <w:i/>
          <w:color w:val="E0301E" w:themeColor="accent6"/>
        </w:rPr>
      </w:pPr>
    </w:p>
    <w:p w:rsidRPr="005963B7" w:rsidR="0001620A" w:rsidP="0001620A" w:rsidRDefault="0001620A" w14:paraId="110E73D1" w14:textId="77777777">
      <w:pPr>
        <w:spacing w:after="240" w:line="276" w:lineRule="auto"/>
      </w:pPr>
      <w:r w:rsidRPr="005963B7">
        <w:t>To support accessibility within the CDR, the Data Standards Chair (</w:t>
      </w:r>
      <w:r w:rsidRPr="005963B7">
        <w:rPr>
          <w:b/>
          <w:bCs/>
        </w:rPr>
        <w:t>Chair</w:t>
      </w:r>
      <w:r w:rsidRPr="005963B7">
        <w:t>), as an official of the Department of the Treasury (</w:t>
      </w:r>
      <w:r w:rsidRPr="005963B7">
        <w:rPr>
          <w:b/>
          <w:bCs/>
        </w:rPr>
        <w:t>Treasury</w:t>
      </w:r>
      <w:r w:rsidRPr="005963B7">
        <w:t>), commissioned PwC’s Indigenous Consulting (</w:t>
      </w:r>
      <w:r w:rsidRPr="005963B7">
        <w:rPr>
          <w:b/>
          <w:bCs/>
        </w:rPr>
        <w:t>PIC</w:t>
      </w:r>
      <w:r w:rsidRPr="005963B7">
        <w:t>), together with the Centre for Inclusive Design (</w:t>
      </w:r>
      <w:r w:rsidRPr="005963B7">
        <w:rPr>
          <w:b/>
          <w:bCs/>
        </w:rPr>
        <w:t>CFID</w:t>
      </w:r>
      <w:r w:rsidRPr="005963B7">
        <w:t>), to review accessibility obligations for the Chair, and provide recommendations to improve practice.</w:t>
      </w:r>
    </w:p>
    <w:p w:rsidRPr="005963B7" w:rsidR="0001620A" w:rsidP="0001620A" w:rsidRDefault="0001620A" w14:paraId="727DE25A" w14:textId="77777777">
      <w:pPr>
        <w:pStyle w:val="PwCNormal"/>
        <w:numPr>
          <w:ilvl w:val="0"/>
          <w:numId w:val="0"/>
        </w:numPr>
        <w:rPr>
          <w:rFonts w:asciiTheme="minorHAnsi" w:hAnsiTheme="minorHAnsi" w:cstheme="minorHAnsi"/>
          <w:lang w:val="en-GB"/>
        </w:rPr>
      </w:pPr>
      <w:r w:rsidRPr="005963B7">
        <w:rPr>
          <w:rFonts w:asciiTheme="minorHAnsi" w:hAnsiTheme="minorHAnsi" w:cstheme="minorHAnsi"/>
          <w:lang w:val="en-GB"/>
        </w:rPr>
        <w:t xml:space="preserve">This review includes a Background Report, which outlines the Chair’s obligations and offers recommendations to improve Accessibility, Usability, and Inclusion within CDR. </w:t>
      </w:r>
    </w:p>
    <w:p w:rsidRPr="005963B7" w:rsidR="0001620A" w:rsidP="0001620A" w:rsidRDefault="0001620A" w14:paraId="62619732" w14:textId="77777777">
      <w:pPr>
        <w:pStyle w:val="PwCNormal"/>
        <w:numPr>
          <w:ilvl w:val="0"/>
          <w:numId w:val="0"/>
        </w:numPr>
        <w:rPr>
          <w:rFonts w:asciiTheme="minorHAnsi" w:hAnsiTheme="minorHAnsi" w:cstheme="minorHAnsi"/>
        </w:rPr>
      </w:pPr>
      <w:r w:rsidRPr="005963B7">
        <w:rPr>
          <w:rFonts w:asciiTheme="minorHAnsi" w:hAnsiTheme="minorHAnsi" w:cstheme="minorHAnsi"/>
        </w:rPr>
        <w:t>To complete this review, a prototype for Consumer Testing was developed. Details of that prototype are outlined here, and the prototype has been delivered in whole to the DSB.</w:t>
      </w:r>
    </w:p>
    <w:p w:rsidRPr="005963B7" w:rsidR="0001620A" w:rsidP="0001620A" w:rsidRDefault="0001620A" w14:paraId="54F246C8" w14:textId="77777777">
      <w:pPr>
        <w:pStyle w:val="PwCNormal"/>
        <w:numPr>
          <w:ilvl w:val="0"/>
          <w:numId w:val="0"/>
        </w:numPr>
        <w:rPr>
          <w:rFonts w:asciiTheme="minorHAnsi" w:hAnsiTheme="minorHAnsi" w:cstheme="minorHAnsi"/>
          <w:lang w:val="en-GB"/>
        </w:rPr>
      </w:pPr>
      <w:r w:rsidRPr="005963B7">
        <w:rPr>
          <w:rFonts w:asciiTheme="minorHAnsi" w:hAnsiTheme="minorHAnsi" w:cstheme="minorHAnsi"/>
          <w:lang w:val="en-GB"/>
        </w:rPr>
        <w:t>Building on the Background Report and the prototype, this report outlines the results of four aspects of review, including the CX Guidelines, the CX Data Standards, a heuristic review of the design system and consumer testing.</w:t>
      </w:r>
    </w:p>
    <w:p w:rsidRPr="005963B7" w:rsidR="0001620A" w:rsidP="0001620A" w:rsidRDefault="0001620A" w14:paraId="6D925CE4" w14:textId="77777777">
      <w:pPr>
        <w:pStyle w:val="PwCNormal"/>
        <w:numPr>
          <w:ilvl w:val="0"/>
          <w:numId w:val="0"/>
        </w:numPr>
        <w:rPr>
          <w:rFonts w:asciiTheme="minorHAnsi" w:hAnsiTheme="minorHAnsi" w:cstheme="minorHAnsi"/>
          <w:lang w:val="en-GB"/>
        </w:rPr>
      </w:pPr>
      <w:r w:rsidRPr="005963B7">
        <w:rPr>
          <w:rFonts w:asciiTheme="minorHAnsi" w:hAnsiTheme="minorHAnsi" w:cstheme="minorHAnsi"/>
          <w:lang w:val="en-GB"/>
        </w:rPr>
        <w:t>This testing identified five strengths of the current CDR: consistent visual language; screen reader accessibility; simple design; overall simple use of language and a clear way out. These offer a strong base on which to build improvements to strengthen the CDR.</w:t>
      </w:r>
    </w:p>
    <w:p w:rsidRPr="005963B7" w:rsidR="0001620A" w:rsidP="0001620A" w:rsidRDefault="0001620A" w14:paraId="230288CC" w14:textId="77777777">
      <w:pPr>
        <w:pStyle w:val="PwCNormal"/>
        <w:numPr>
          <w:ilvl w:val="0"/>
          <w:numId w:val="0"/>
        </w:numPr>
        <w:rPr>
          <w:rFonts w:asciiTheme="minorHAnsi" w:hAnsiTheme="minorHAnsi" w:cstheme="minorHAnsi"/>
        </w:rPr>
      </w:pPr>
      <w:r w:rsidRPr="005963B7">
        <w:rPr>
          <w:rFonts w:asciiTheme="minorHAnsi" w:hAnsiTheme="minorHAnsi" w:cstheme="minorHAnsi"/>
          <w:lang w:val="en-GB"/>
        </w:rPr>
        <w:t xml:space="preserve">The review also identified </w:t>
      </w:r>
      <w:proofErr w:type="gramStart"/>
      <w:r w:rsidRPr="005963B7">
        <w:rPr>
          <w:rFonts w:asciiTheme="minorHAnsi" w:hAnsiTheme="minorHAnsi" w:cstheme="minorHAnsi"/>
          <w:lang w:val="en-GB"/>
        </w:rPr>
        <w:t>a number of</w:t>
      </w:r>
      <w:proofErr w:type="gramEnd"/>
      <w:r w:rsidRPr="005963B7">
        <w:rPr>
          <w:rFonts w:asciiTheme="minorHAnsi" w:hAnsiTheme="minorHAnsi" w:cstheme="minorHAnsi"/>
          <w:lang w:val="en-GB"/>
        </w:rPr>
        <w:t xml:space="preserve"> areas for improvement, covered in the recommendations summarised on the next page.</w:t>
      </w:r>
      <w:r w:rsidRPr="005963B7">
        <w:rPr>
          <w:rFonts w:asciiTheme="minorHAnsi" w:hAnsiTheme="minorHAnsi" w:cstheme="minorHAnsi"/>
        </w:rPr>
        <w:t xml:space="preserve"> A roadmap which includes considerations around priority of recommendations is given in the last section of this document.</w:t>
      </w:r>
    </w:p>
    <w:p w:rsidR="00E90FFE" w:rsidP="0001620A" w:rsidRDefault="0001620A" w14:paraId="3346B83A" w14:textId="1CC8FFE9">
      <w:pPr>
        <w:pStyle w:val="PwCNormal"/>
        <w:numPr>
          <w:ilvl w:val="0"/>
          <w:numId w:val="0"/>
        </w:numPr>
        <w:rPr>
          <w:rFonts w:asciiTheme="minorHAnsi" w:hAnsiTheme="minorHAnsi" w:cstheme="minorHAnsi"/>
        </w:rPr>
      </w:pPr>
      <w:r w:rsidRPr="005963B7">
        <w:rPr>
          <w:rFonts w:asciiTheme="minorHAnsi" w:hAnsiTheme="minorHAnsi" w:cstheme="minorHAnsi"/>
        </w:rPr>
        <w:t>Taken together, these results offer powerful insights to inform recommendations for the Chair to improve practice and continue to take a leading and influential role within the Australian Government and the economy in relation to data access and use for consumers.</w:t>
      </w:r>
    </w:p>
    <w:p w:rsidR="00E90FFE" w:rsidRDefault="00E90FFE" w14:paraId="660E3C8C" w14:textId="77777777">
      <w:pPr>
        <w:spacing w:after="160" w:line="259" w:lineRule="auto"/>
        <w:rPr>
          <w:rFonts w:eastAsia="Times New Roman"/>
          <w:snapToGrid w:val="0"/>
          <w:lang w:val="en-AU" w:eastAsia="en-US"/>
        </w:rPr>
      </w:pPr>
      <w:r>
        <w:br w:type="page"/>
      </w:r>
    </w:p>
    <w:p w:rsidR="00E90FFE" w:rsidP="00E90FFE" w:rsidRDefault="00E90FFE" w14:paraId="4B35BBD2" w14:textId="77777777">
      <w:pPr>
        <w:pStyle w:val="Heading1"/>
      </w:pPr>
      <w:bookmarkStart w:name="_Toc115693167" w:id="11"/>
      <w:r>
        <w:lastRenderedPageBreak/>
        <w:t>Summary of Recommendations</w:t>
      </w:r>
      <w:bookmarkEnd w:id="11"/>
    </w:p>
    <w:p w:rsidRPr="00E90FFE" w:rsidR="00E90FFE" w:rsidP="00E90FFE" w:rsidRDefault="00E90FFE" w14:paraId="677355E2" w14:textId="77777777">
      <w:pPr>
        <w:pStyle w:val="Normal0"/>
        <w:rPr>
          <w:rFonts w:asciiTheme="minorHAnsi" w:hAnsiTheme="minorHAnsi" w:cstheme="minorHAnsi"/>
        </w:rPr>
      </w:pPr>
      <w:r w:rsidRPr="00E90FFE">
        <w:rPr>
          <w:rFonts w:asciiTheme="minorHAnsi" w:hAnsiTheme="minorHAnsi" w:cstheme="minorHAnsi"/>
        </w:rPr>
        <w:t>This report includes seven recommendations:</w:t>
      </w:r>
    </w:p>
    <w:p w:rsidRPr="00E90FFE" w:rsidR="00E90FFE" w:rsidP="00E90FFE" w:rsidRDefault="00E90FFE" w14:paraId="4EB29CD6" w14:textId="77777777">
      <w:pPr>
        <w:pStyle w:val="Normal0"/>
        <w:rPr>
          <w:rFonts w:asciiTheme="minorHAnsi" w:hAnsiTheme="minorHAnsi" w:cstheme="minorHAnsi"/>
        </w:rPr>
      </w:pPr>
      <w:r w:rsidRPr="00E90FFE">
        <w:rPr>
          <w:rFonts w:asciiTheme="minorHAnsi" w:hAnsiTheme="minorHAnsi" w:cstheme="minorHAnsi"/>
          <w:b/>
          <w:bCs/>
        </w:rPr>
        <w:t>Recommendation 1:</w:t>
      </w:r>
      <w:r w:rsidRPr="00E90FFE">
        <w:rPr>
          <w:rFonts w:asciiTheme="minorHAnsi" w:hAnsiTheme="minorHAnsi" w:cstheme="minorHAnsi"/>
        </w:rPr>
        <w:t xml:space="preserve"> Whilst the CX Standards already mandate certain Web Content Accessibility Guidelines (</w:t>
      </w:r>
      <w:r w:rsidRPr="00E90FFE">
        <w:rPr>
          <w:rFonts w:asciiTheme="minorHAnsi" w:hAnsiTheme="minorHAnsi" w:cstheme="minorHAnsi"/>
          <w:b/>
          <w:bCs/>
        </w:rPr>
        <w:t>WCAG</w:t>
      </w:r>
      <w:r w:rsidRPr="00E90FFE">
        <w:rPr>
          <w:rFonts w:asciiTheme="minorHAnsi" w:hAnsiTheme="minorHAnsi" w:cstheme="minorHAnsi"/>
        </w:rPr>
        <w:t>) criterion, the Chair should consider more extensively incorporating WCAG into the Data Standards, the Data Standards artefacts themselves, and related products, to address their legislative obligations for Accessibility.</w:t>
      </w:r>
    </w:p>
    <w:p w:rsidRPr="00E90FFE" w:rsidR="00E90FFE" w:rsidP="00E90FFE" w:rsidRDefault="00E90FFE" w14:paraId="3537A080" w14:textId="77777777">
      <w:pPr>
        <w:pStyle w:val="Normal0"/>
        <w:rPr>
          <w:rFonts w:asciiTheme="minorHAnsi" w:hAnsiTheme="minorHAnsi" w:cstheme="minorHAnsi"/>
        </w:rPr>
      </w:pPr>
      <w:r w:rsidRPr="00E90FFE">
        <w:rPr>
          <w:rFonts w:asciiTheme="minorHAnsi" w:hAnsiTheme="minorHAnsi" w:cstheme="minorHAnsi"/>
          <w:b/>
          <w:bCs/>
        </w:rPr>
        <w:t>Recommendation 2</w:t>
      </w:r>
      <w:r w:rsidRPr="00E90FFE">
        <w:rPr>
          <w:rFonts w:asciiTheme="minorHAnsi" w:hAnsiTheme="minorHAnsi" w:cstheme="minorHAnsi"/>
        </w:rPr>
        <w:t>: Given the current reliance upon a Design System which is not fit-for-purpose, the Chair addresses the divergence from the GOLD Design System.</w:t>
      </w:r>
    </w:p>
    <w:p w:rsidRPr="00E90FFE" w:rsidR="00E90FFE" w:rsidP="00E90FFE" w:rsidRDefault="00E90FFE" w14:paraId="3215116A" w14:textId="77777777">
      <w:pPr>
        <w:pStyle w:val="Normal0"/>
        <w:rPr>
          <w:rFonts w:asciiTheme="minorHAnsi" w:hAnsiTheme="minorHAnsi" w:cstheme="minorHAnsi"/>
        </w:rPr>
      </w:pPr>
      <w:r w:rsidRPr="00E90FFE">
        <w:rPr>
          <w:rFonts w:asciiTheme="minorHAnsi" w:hAnsiTheme="minorHAnsi" w:cstheme="minorHAnsi"/>
          <w:b/>
          <w:bCs/>
        </w:rPr>
        <w:t>Recommendation 3:</w:t>
      </w:r>
      <w:r w:rsidRPr="00E90FFE">
        <w:rPr>
          <w:rFonts w:asciiTheme="minorHAnsi" w:hAnsiTheme="minorHAnsi" w:cstheme="minorHAnsi"/>
        </w:rPr>
        <w:t xml:space="preserve"> The Chair commissions a scoping-study into the development of Usability and Inclusivity framework(s) with the intent of addressing their legislative obligations.</w:t>
      </w:r>
    </w:p>
    <w:p w:rsidRPr="00E90FFE" w:rsidR="00E90FFE" w:rsidP="00E90FFE" w:rsidRDefault="00E90FFE" w14:paraId="6D49CAD9" w14:textId="77777777">
      <w:pPr>
        <w:pStyle w:val="Normal0"/>
        <w:rPr>
          <w:rFonts w:asciiTheme="minorHAnsi" w:hAnsiTheme="minorHAnsi" w:cstheme="minorHAnsi"/>
        </w:rPr>
      </w:pPr>
      <w:r w:rsidRPr="00E90FFE">
        <w:rPr>
          <w:rFonts w:asciiTheme="minorHAnsi" w:hAnsiTheme="minorHAnsi" w:cstheme="minorHAnsi"/>
          <w:b/>
          <w:bCs/>
        </w:rPr>
        <w:t>Recommendation 4</w:t>
      </w:r>
      <w:r w:rsidRPr="00E90FFE">
        <w:rPr>
          <w:rFonts w:asciiTheme="minorHAnsi" w:hAnsiTheme="minorHAnsi" w:cstheme="minorHAnsi"/>
        </w:rPr>
        <w:t xml:space="preserve">: The Chair, or the DSB, joins W3C </w:t>
      </w:r>
      <w:proofErr w:type="gramStart"/>
      <w:r w:rsidRPr="00E90FFE">
        <w:rPr>
          <w:rFonts w:asciiTheme="minorHAnsi" w:hAnsiTheme="minorHAnsi" w:cstheme="minorHAnsi"/>
        </w:rPr>
        <w:t>in order to</w:t>
      </w:r>
      <w:proofErr w:type="gramEnd"/>
      <w:r w:rsidRPr="00E90FFE">
        <w:rPr>
          <w:rFonts w:asciiTheme="minorHAnsi" w:hAnsiTheme="minorHAnsi" w:cstheme="minorHAnsi"/>
        </w:rPr>
        <w:t xml:space="preserve"> support the future direction of these standards.</w:t>
      </w:r>
    </w:p>
    <w:p w:rsidRPr="00E90FFE" w:rsidR="00E90FFE" w:rsidP="00E90FFE" w:rsidRDefault="00E90FFE" w14:paraId="42F7E1A4" w14:textId="77777777">
      <w:pPr>
        <w:pStyle w:val="Normal0"/>
        <w:rPr>
          <w:rFonts w:asciiTheme="minorHAnsi" w:hAnsiTheme="minorHAnsi" w:cstheme="minorHAnsi"/>
        </w:rPr>
      </w:pPr>
      <w:r w:rsidRPr="00E90FFE">
        <w:rPr>
          <w:rFonts w:asciiTheme="minorHAnsi" w:hAnsiTheme="minorHAnsi" w:cstheme="minorHAnsi"/>
          <w:b/>
          <w:bCs/>
        </w:rPr>
        <w:t>Recommendation 5</w:t>
      </w:r>
      <w:r w:rsidRPr="00E90FFE">
        <w:rPr>
          <w:rFonts w:asciiTheme="minorHAnsi" w:hAnsiTheme="minorHAnsi" w:cstheme="minorHAnsi"/>
        </w:rPr>
        <w:t xml:space="preserve">: The DSB should maintain an Accessibility, Usability, and Inclusion capability </w:t>
      </w:r>
      <w:proofErr w:type="gramStart"/>
      <w:r w:rsidRPr="00E90FFE">
        <w:rPr>
          <w:rFonts w:asciiTheme="minorHAnsi" w:hAnsiTheme="minorHAnsi" w:cstheme="minorHAnsi"/>
        </w:rPr>
        <w:t>in order to</w:t>
      </w:r>
      <w:proofErr w:type="gramEnd"/>
      <w:r w:rsidRPr="00E90FFE">
        <w:rPr>
          <w:rFonts w:asciiTheme="minorHAnsi" w:hAnsiTheme="minorHAnsi" w:cstheme="minorHAnsi"/>
        </w:rPr>
        <w:t xml:space="preserve"> support appropriate Data Standards development, on behalf of the Chair.</w:t>
      </w:r>
    </w:p>
    <w:p w:rsidRPr="00E90FFE" w:rsidR="00E90FFE" w:rsidP="00E90FFE" w:rsidRDefault="00E90FFE" w14:paraId="3A981F54" w14:textId="77777777">
      <w:pPr>
        <w:pStyle w:val="Normal0"/>
        <w:rPr>
          <w:rFonts w:asciiTheme="minorHAnsi" w:hAnsiTheme="minorHAnsi" w:cstheme="minorHAnsi"/>
        </w:rPr>
      </w:pPr>
      <w:r w:rsidRPr="00E90FFE">
        <w:rPr>
          <w:rFonts w:asciiTheme="minorHAnsi" w:hAnsiTheme="minorHAnsi" w:cstheme="minorHAnsi"/>
          <w:b/>
          <w:bCs/>
        </w:rPr>
        <w:t>Recommendation 6</w:t>
      </w:r>
      <w:r w:rsidRPr="00E90FFE">
        <w:rPr>
          <w:rFonts w:asciiTheme="minorHAnsi" w:hAnsiTheme="minorHAnsi" w:cstheme="minorHAnsi"/>
        </w:rPr>
        <w:t xml:space="preserve">: The Chair refines the existing CX Accessibility Standards </w:t>
      </w:r>
      <w:proofErr w:type="gramStart"/>
      <w:r w:rsidRPr="00E90FFE">
        <w:rPr>
          <w:rFonts w:asciiTheme="minorHAnsi" w:hAnsiTheme="minorHAnsi" w:cstheme="minorHAnsi"/>
        </w:rPr>
        <w:t>in order to</w:t>
      </w:r>
      <w:proofErr w:type="gramEnd"/>
      <w:r w:rsidRPr="00E90FFE">
        <w:rPr>
          <w:rFonts w:asciiTheme="minorHAnsi" w:hAnsiTheme="minorHAnsi" w:cstheme="minorHAnsi"/>
        </w:rPr>
        <w:t xml:space="preserve"> simplify and strengthen them.</w:t>
      </w:r>
    </w:p>
    <w:p w:rsidRPr="00E90FFE" w:rsidR="00E90FFE" w:rsidP="00E90FFE" w:rsidRDefault="00E90FFE" w14:paraId="78F6AFAE" w14:textId="77777777">
      <w:pPr>
        <w:pStyle w:val="Normal0"/>
        <w:rPr>
          <w:rFonts w:asciiTheme="minorHAnsi" w:hAnsiTheme="minorHAnsi" w:cstheme="minorHAnsi"/>
        </w:rPr>
      </w:pPr>
      <w:r w:rsidRPr="00E90FFE">
        <w:rPr>
          <w:rFonts w:asciiTheme="minorHAnsi" w:hAnsiTheme="minorHAnsi" w:cstheme="minorHAnsi"/>
          <w:b/>
          <w:bCs/>
        </w:rPr>
        <w:t>Recommendation 7</w:t>
      </w:r>
      <w:r w:rsidRPr="00E90FFE">
        <w:rPr>
          <w:rFonts w:asciiTheme="minorHAnsi" w:hAnsiTheme="minorHAnsi" w:cstheme="minorHAnsi"/>
        </w:rPr>
        <w:t>: Review, prioritise and address issues of Transparency, Clarity and Understanding and Visibility in the Consent Flow.</w:t>
      </w:r>
    </w:p>
    <w:p w:rsidRPr="00E90FFE" w:rsidR="00E90FFE" w:rsidP="00E90FFE" w:rsidRDefault="00E90FFE" w14:paraId="2ABEA212" w14:textId="77777777">
      <w:pPr>
        <w:pStyle w:val="Normal0"/>
        <w:rPr>
          <w:rFonts w:asciiTheme="minorHAnsi" w:hAnsiTheme="minorHAnsi" w:cstheme="minorHAnsi"/>
        </w:rPr>
      </w:pPr>
      <w:r w:rsidRPr="00E90FFE">
        <w:rPr>
          <w:rFonts w:asciiTheme="minorHAnsi" w:hAnsiTheme="minorHAnsi" w:cstheme="minorHAnsi"/>
        </w:rPr>
        <w:t>More detail of all recommendations and implementation considerations can be found in Section 7 of this report.</w:t>
      </w:r>
    </w:p>
    <w:p w:rsidRPr="005963B7" w:rsidR="0001620A" w:rsidP="0001620A" w:rsidRDefault="0001620A" w14:paraId="25BB4814" w14:textId="77777777">
      <w:pPr>
        <w:pStyle w:val="PwCNormal"/>
        <w:numPr>
          <w:ilvl w:val="0"/>
          <w:numId w:val="0"/>
        </w:numPr>
        <w:rPr>
          <w:rFonts w:asciiTheme="minorHAnsi" w:hAnsiTheme="minorHAnsi" w:cstheme="minorHAnsi"/>
        </w:rPr>
      </w:pPr>
    </w:p>
    <w:p w:rsidR="00E90FFE" w:rsidRDefault="00E90FFE" w14:paraId="2009BEF9" w14:textId="08D420C7">
      <w:pPr>
        <w:spacing w:after="160" w:line="259" w:lineRule="auto"/>
      </w:pPr>
      <w:r>
        <w:br w:type="page"/>
      </w:r>
    </w:p>
    <w:p w:rsidR="00A8501B" w:rsidP="008B2CBC" w:rsidRDefault="00A8501B" w14:paraId="2A178237" w14:textId="77777777">
      <w:pPr>
        <w:pStyle w:val="Heading1"/>
      </w:pPr>
      <w:r>
        <w:lastRenderedPageBreak/>
        <w:t>Contents</w:t>
      </w:r>
    </w:p>
    <w:p w:rsidR="00A8501B" w:rsidP="00A8501B" w:rsidRDefault="00A8501B" w14:paraId="62EB459B" w14:textId="77777777"/>
    <w:p w:rsidR="00A8501B" w:rsidP="00A8501B" w:rsidRDefault="00A8501B" w14:paraId="76DA2C0A" w14:textId="2E4D393B">
      <w:r>
        <w:t>Purpose statement</w:t>
      </w:r>
      <w:r>
        <w:tab/>
      </w:r>
      <w:r>
        <w:tab/>
      </w:r>
      <w:r>
        <w:tab/>
      </w:r>
      <w:r>
        <w:tab/>
      </w:r>
      <w:r>
        <w:tab/>
      </w:r>
      <w:r>
        <w:tab/>
      </w:r>
      <w:r>
        <w:tab/>
      </w:r>
      <w:r>
        <w:tab/>
      </w:r>
      <w:r>
        <w:tab/>
      </w:r>
      <w:r>
        <w:tab/>
      </w:r>
      <w:r w:rsidR="00CC6C2C">
        <w:t xml:space="preserve">page </w:t>
      </w:r>
      <w:r>
        <w:t>1</w:t>
      </w:r>
    </w:p>
    <w:p w:rsidR="00A8501B" w:rsidP="00A8501B" w:rsidRDefault="00A8501B" w14:paraId="2AD86895" w14:textId="371416F9">
      <w:r>
        <w:t>Executive summary</w:t>
      </w:r>
      <w:r>
        <w:tab/>
      </w:r>
      <w:r>
        <w:tab/>
      </w:r>
      <w:r>
        <w:tab/>
      </w:r>
      <w:r>
        <w:tab/>
      </w:r>
      <w:r>
        <w:tab/>
      </w:r>
      <w:r>
        <w:tab/>
      </w:r>
      <w:r>
        <w:tab/>
      </w:r>
      <w:r>
        <w:tab/>
      </w:r>
      <w:r>
        <w:tab/>
      </w:r>
      <w:r>
        <w:tab/>
      </w:r>
      <w:r w:rsidR="00487500">
        <w:t xml:space="preserve">page </w:t>
      </w:r>
      <w:r>
        <w:t>2</w:t>
      </w:r>
    </w:p>
    <w:p w:rsidR="00A8501B" w:rsidP="00A8501B" w:rsidRDefault="00A8501B" w14:paraId="4B30D3CD" w14:textId="6CEF6D80">
      <w:r>
        <w:t>Summary of Recommendations</w:t>
      </w:r>
      <w:r>
        <w:tab/>
      </w:r>
      <w:r>
        <w:tab/>
      </w:r>
      <w:r>
        <w:tab/>
      </w:r>
      <w:r>
        <w:tab/>
      </w:r>
      <w:r>
        <w:tab/>
      </w:r>
      <w:r>
        <w:tab/>
      </w:r>
      <w:r>
        <w:tab/>
      </w:r>
      <w:r>
        <w:tab/>
      </w:r>
      <w:r>
        <w:tab/>
      </w:r>
      <w:r w:rsidR="00487500">
        <w:t xml:space="preserve">page </w:t>
      </w:r>
      <w:r>
        <w:t>3</w:t>
      </w:r>
    </w:p>
    <w:p w:rsidR="00A8501B" w:rsidP="00A8501B" w:rsidRDefault="00A8501B" w14:paraId="2B3A37BD" w14:textId="5A759DE5">
      <w:r>
        <w:t>Contents</w:t>
      </w:r>
      <w:r>
        <w:tab/>
      </w:r>
      <w:r>
        <w:tab/>
      </w:r>
      <w:r>
        <w:tab/>
      </w:r>
      <w:r>
        <w:tab/>
      </w:r>
      <w:r>
        <w:tab/>
      </w:r>
      <w:r>
        <w:tab/>
      </w:r>
      <w:r>
        <w:tab/>
      </w:r>
      <w:r>
        <w:tab/>
      </w:r>
      <w:r>
        <w:tab/>
      </w:r>
      <w:r>
        <w:tab/>
      </w:r>
      <w:r>
        <w:tab/>
      </w:r>
      <w:r w:rsidR="00487500">
        <w:t xml:space="preserve">page </w:t>
      </w:r>
      <w:r>
        <w:t>5</w:t>
      </w:r>
    </w:p>
    <w:p w:rsidR="00A8501B" w:rsidP="00A8501B" w:rsidRDefault="00A8501B" w14:paraId="73792673" w14:textId="7D5D5FD6">
      <w:r>
        <w:t>1</w:t>
      </w:r>
      <w:r>
        <w:tab/>
      </w:r>
      <w:r>
        <w:t>Introduction</w:t>
      </w:r>
      <w:r>
        <w:tab/>
      </w:r>
      <w:r>
        <w:tab/>
      </w:r>
      <w:r>
        <w:tab/>
      </w:r>
      <w:r>
        <w:tab/>
      </w:r>
      <w:r>
        <w:tab/>
      </w:r>
      <w:r>
        <w:tab/>
      </w:r>
      <w:r>
        <w:tab/>
      </w:r>
      <w:r>
        <w:tab/>
      </w:r>
      <w:r>
        <w:tab/>
      </w:r>
      <w:r>
        <w:tab/>
      </w:r>
      <w:r w:rsidR="00487500">
        <w:t xml:space="preserve">page </w:t>
      </w:r>
      <w:r>
        <w:t>7</w:t>
      </w:r>
    </w:p>
    <w:p w:rsidR="00A8501B" w:rsidP="00A8501B" w:rsidRDefault="00A8501B" w14:paraId="09C4ECFC" w14:textId="6A690F92">
      <w:r>
        <w:t>2</w:t>
      </w:r>
      <w:r>
        <w:tab/>
      </w:r>
      <w:r>
        <w:t>Methodology</w:t>
      </w:r>
      <w:r>
        <w:tab/>
      </w:r>
      <w:r>
        <w:tab/>
      </w:r>
      <w:r>
        <w:tab/>
      </w:r>
      <w:r>
        <w:tab/>
      </w:r>
      <w:r>
        <w:tab/>
      </w:r>
      <w:r>
        <w:tab/>
      </w:r>
      <w:r>
        <w:tab/>
      </w:r>
      <w:r>
        <w:tab/>
      </w:r>
      <w:r>
        <w:tab/>
      </w:r>
      <w:r>
        <w:tab/>
      </w:r>
      <w:r w:rsidR="00487500">
        <w:t xml:space="preserve">page </w:t>
      </w:r>
      <w:r>
        <w:t>9</w:t>
      </w:r>
    </w:p>
    <w:p w:rsidR="00A8501B" w:rsidP="00A8501B" w:rsidRDefault="00A8501B" w14:paraId="62C445E7" w14:textId="70842509">
      <w:r>
        <w:t>3</w:t>
      </w:r>
      <w:r>
        <w:tab/>
      </w:r>
      <w:r>
        <w:t>Consent Model: WCAG Review of Flows</w:t>
      </w:r>
      <w:r>
        <w:tab/>
      </w:r>
      <w:r>
        <w:tab/>
      </w:r>
      <w:r>
        <w:tab/>
      </w:r>
      <w:r>
        <w:tab/>
      </w:r>
      <w:r>
        <w:tab/>
      </w:r>
      <w:r>
        <w:tab/>
      </w:r>
      <w:r>
        <w:tab/>
      </w:r>
      <w:r w:rsidR="00487500">
        <w:t xml:space="preserve">page </w:t>
      </w:r>
      <w:r>
        <w:t>10</w:t>
      </w:r>
    </w:p>
    <w:p w:rsidR="00A8501B" w:rsidP="00A8501B" w:rsidRDefault="00A8501B" w14:paraId="1EBA9E44" w14:textId="0E47C7A0">
      <w:r>
        <w:t>4</w:t>
      </w:r>
      <w:r>
        <w:tab/>
      </w:r>
      <w:r>
        <w:t>CX Data Standards Review</w:t>
      </w:r>
      <w:r>
        <w:tab/>
      </w:r>
      <w:r>
        <w:tab/>
      </w:r>
      <w:r>
        <w:tab/>
      </w:r>
      <w:r>
        <w:tab/>
      </w:r>
      <w:r>
        <w:tab/>
      </w:r>
      <w:r>
        <w:tab/>
      </w:r>
      <w:r>
        <w:tab/>
      </w:r>
      <w:r>
        <w:tab/>
      </w:r>
      <w:r w:rsidR="00487500">
        <w:t xml:space="preserve">page </w:t>
      </w:r>
      <w:r>
        <w:t>18</w:t>
      </w:r>
    </w:p>
    <w:p w:rsidR="00A8501B" w:rsidP="00A8501B" w:rsidRDefault="00A8501B" w14:paraId="78564707" w14:textId="274E98BD">
      <w:r>
        <w:t>5</w:t>
      </w:r>
      <w:r>
        <w:tab/>
      </w:r>
      <w:r>
        <w:t>Heuristic Review</w:t>
      </w:r>
      <w:r>
        <w:tab/>
      </w:r>
      <w:r>
        <w:tab/>
      </w:r>
      <w:r>
        <w:tab/>
      </w:r>
      <w:r>
        <w:tab/>
      </w:r>
      <w:r>
        <w:tab/>
      </w:r>
      <w:r>
        <w:tab/>
      </w:r>
      <w:r w:rsidR="008B2CBC">
        <w:tab/>
      </w:r>
      <w:r w:rsidR="00483F75">
        <w:tab/>
      </w:r>
      <w:r w:rsidR="008B2CBC">
        <w:tab/>
      </w:r>
      <w:r w:rsidR="00487500">
        <w:t>page</w:t>
      </w:r>
      <w:r>
        <w:t>20</w:t>
      </w:r>
    </w:p>
    <w:p w:rsidR="00A8501B" w:rsidP="00A8501B" w:rsidRDefault="00A8501B" w14:paraId="20EFDDD1" w14:textId="5BB08C0A">
      <w:r>
        <w:t>6</w:t>
      </w:r>
      <w:r>
        <w:tab/>
      </w:r>
      <w:r>
        <w:t>Consumer Testing</w:t>
      </w:r>
      <w:r>
        <w:tab/>
      </w:r>
      <w:r w:rsidR="008B2CBC">
        <w:tab/>
      </w:r>
      <w:r w:rsidR="008B2CBC">
        <w:tab/>
      </w:r>
      <w:r w:rsidR="008B2CBC">
        <w:tab/>
      </w:r>
      <w:r w:rsidR="008B2CBC">
        <w:tab/>
      </w:r>
      <w:r w:rsidR="008B2CBC">
        <w:tab/>
      </w:r>
      <w:r w:rsidR="008B2CBC">
        <w:tab/>
      </w:r>
      <w:r w:rsidR="008B2CBC">
        <w:tab/>
      </w:r>
      <w:r w:rsidR="008B2CBC">
        <w:tab/>
      </w:r>
      <w:r w:rsidR="00483F75">
        <w:t xml:space="preserve">page </w:t>
      </w:r>
      <w:r>
        <w:t>24</w:t>
      </w:r>
    </w:p>
    <w:p w:rsidR="00A8501B" w:rsidP="00A8501B" w:rsidRDefault="00A8501B" w14:paraId="2D1D6196" w14:textId="5BC9DA81">
      <w:r>
        <w:t>7</w:t>
      </w:r>
      <w:r>
        <w:tab/>
      </w:r>
      <w:r>
        <w:t>Recommendations</w:t>
      </w:r>
      <w:r>
        <w:tab/>
      </w:r>
      <w:r w:rsidR="008B2CBC">
        <w:tab/>
      </w:r>
      <w:r w:rsidR="008B2CBC">
        <w:tab/>
      </w:r>
      <w:r w:rsidR="008B2CBC">
        <w:tab/>
      </w:r>
      <w:r w:rsidR="008B2CBC">
        <w:tab/>
      </w:r>
      <w:r w:rsidR="008B2CBC">
        <w:tab/>
      </w:r>
      <w:r w:rsidR="008B2CBC">
        <w:tab/>
      </w:r>
      <w:r w:rsidR="008B2CBC">
        <w:tab/>
      </w:r>
      <w:r w:rsidR="008B2CBC">
        <w:tab/>
      </w:r>
      <w:r w:rsidR="00483F75">
        <w:t xml:space="preserve">page </w:t>
      </w:r>
      <w:r>
        <w:t>38</w:t>
      </w:r>
    </w:p>
    <w:p w:rsidR="00A8501B" w:rsidP="00A8501B" w:rsidRDefault="00A8501B" w14:paraId="5B3575FB" w14:textId="1206C3B1">
      <w:r>
        <w:t>Appendix</w:t>
      </w:r>
      <w:r>
        <w:tab/>
      </w:r>
      <w:r w:rsidR="008B2CBC">
        <w:tab/>
      </w:r>
      <w:r w:rsidR="008B2CBC">
        <w:tab/>
      </w:r>
      <w:r w:rsidR="008B2CBC">
        <w:tab/>
      </w:r>
      <w:r w:rsidR="008B2CBC">
        <w:tab/>
      </w:r>
      <w:r w:rsidR="008B2CBC">
        <w:tab/>
      </w:r>
      <w:r w:rsidR="008B2CBC">
        <w:tab/>
      </w:r>
      <w:r w:rsidR="008B2CBC">
        <w:tab/>
      </w:r>
      <w:r w:rsidR="008B2CBC">
        <w:tab/>
      </w:r>
      <w:r w:rsidR="008B2CBC">
        <w:tab/>
      </w:r>
      <w:r w:rsidR="008B2CBC">
        <w:tab/>
      </w:r>
      <w:r w:rsidR="00483F75">
        <w:t xml:space="preserve">page </w:t>
      </w:r>
      <w:r>
        <w:t>43</w:t>
      </w:r>
    </w:p>
    <w:p w:rsidR="00A8501B" w:rsidP="00A8501B" w:rsidRDefault="00A8501B" w14:paraId="2CFC0AC2" w14:textId="3F461D33">
      <w:r>
        <w:t>Appendix A</w:t>
      </w:r>
      <w:r>
        <w:tab/>
      </w:r>
      <w:r>
        <w:t>User Research Methodology</w:t>
      </w:r>
      <w:r w:rsidR="008B2CBC">
        <w:tab/>
      </w:r>
      <w:r w:rsidR="008B2CBC">
        <w:tab/>
      </w:r>
      <w:r w:rsidR="008B2CBC">
        <w:tab/>
      </w:r>
      <w:r w:rsidR="008B2CBC">
        <w:tab/>
      </w:r>
      <w:r w:rsidR="008B2CBC">
        <w:tab/>
      </w:r>
      <w:r w:rsidR="008B2CBC">
        <w:tab/>
      </w:r>
      <w:r w:rsidR="008B2CBC">
        <w:tab/>
      </w:r>
      <w:r w:rsidR="00483F75">
        <w:t xml:space="preserve">page </w:t>
      </w:r>
      <w:r>
        <w:t>44</w:t>
      </w:r>
    </w:p>
    <w:p w:rsidR="00A8501B" w:rsidP="00A8501B" w:rsidRDefault="00A8501B" w14:paraId="5C356F85" w14:textId="7BC417EB">
      <w:r>
        <w:t>Appendix B</w:t>
      </w:r>
      <w:r>
        <w:tab/>
      </w:r>
      <w:r>
        <w:t>Prototype outputs</w:t>
      </w:r>
      <w:r>
        <w:tab/>
      </w:r>
      <w:r w:rsidR="008B2CBC">
        <w:tab/>
      </w:r>
      <w:r w:rsidR="008B2CBC">
        <w:tab/>
      </w:r>
      <w:r w:rsidR="008B2CBC">
        <w:tab/>
      </w:r>
      <w:r w:rsidR="008B2CBC">
        <w:tab/>
      </w:r>
      <w:r w:rsidR="008B2CBC">
        <w:tab/>
      </w:r>
      <w:r w:rsidR="008B2CBC">
        <w:tab/>
      </w:r>
      <w:r w:rsidR="008B2CBC">
        <w:tab/>
      </w:r>
      <w:r w:rsidR="00483F75">
        <w:t xml:space="preserve">page </w:t>
      </w:r>
      <w:r>
        <w:t>51</w:t>
      </w:r>
    </w:p>
    <w:p w:rsidR="008B2CBC" w:rsidRDefault="008B2CBC" w14:paraId="4CFA3AAC" w14:textId="2C36A4E5">
      <w:pPr>
        <w:spacing w:after="160" w:line="259" w:lineRule="auto"/>
      </w:pPr>
      <w:r>
        <w:br w:type="page"/>
      </w:r>
    </w:p>
    <w:p w:rsidR="004446CF" w:rsidP="004446CF" w:rsidRDefault="004446CF" w14:paraId="6A7E1A9C" w14:textId="77777777">
      <w:pPr>
        <w:pStyle w:val="Heading1"/>
      </w:pPr>
      <w:r>
        <w:lastRenderedPageBreak/>
        <w:t>1</w:t>
      </w:r>
      <w:r>
        <w:tab/>
      </w:r>
      <w:r>
        <w:t>Introduction</w:t>
      </w:r>
    </w:p>
    <w:p w:rsidRPr="0035492E" w:rsidR="004446CF" w:rsidP="0035492E" w:rsidRDefault="004446CF" w14:paraId="02CFB4AF" w14:textId="13460582">
      <w:pPr>
        <w:pStyle w:val="Heading2"/>
      </w:pPr>
      <w:r w:rsidRPr="0035492E">
        <w:t>1.1</w:t>
      </w:r>
      <w:r w:rsidRPr="0035492E">
        <w:tab/>
      </w:r>
      <w:r w:rsidRPr="0035492E">
        <w:t>What is the CDR</w:t>
      </w:r>
    </w:p>
    <w:p w:rsidR="004446CF" w:rsidP="004446CF" w:rsidRDefault="004446CF" w14:paraId="7553412A" w14:textId="77777777">
      <w:r>
        <w:t xml:space="preserve">The legislative function of the Chair, an Official of the Treasury, is to make and review Data Standards that define the format and process for how CDR consumer data is shared – in other words, how this is disclosed – under the </w:t>
      </w:r>
      <w:proofErr w:type="gramStart"/>
      <w:r>
        <w:t>CDR;</w:t>
      </w:r>
      <w:proofErr w:type="gramEnd"/>
      <w:r>
        <w:t xml:space="preserve"> with their consent. Informed consent is central to the operation of this Right. Consequently, if the process whereby a Consumer grants their consent is inaccessible, then their Right is also inaccessible.</w:t>
      </w:r>
    </w:p>
    <w:p w:rsidR="004446CF" w:rsidP="004446CF" w:rsidRDefault="004446CF" w14:paraId="15F7CCD1" w14:textId="77777777">
      <w:r>
        <w:t xml:space="preserve">For a consumer to grant their consent to share their data, understanding their experience on how they access and use a data sharing product becomes crucial in developing products that enable them to access their Right. Accessibility, </w:t>
      </w:r>
      <w:proofErr w:type="gramStart"/>
      <w:r>
        <w:t>Usability</w:t>
      </w:r>
      <w:proofErr w:type="gramEnd"/>
      <w:r>
        <w:t xml:space="preserve"> and Inclusion is an Internationally recognised framework provides a solid foundation in creating a more accessible, useful and inclusive CDR. Accessibility, Usability, and Inclusion</w:t>
      </w:r>
    </w:p>
    <w:p w:rsidR="004446CF" w:rsidP="004446CF" w:rsidRDefault="004446CF" w14:paraId="5E792F56" w14:textId="77777777">
      <w:r>
        <w:t>Clearly Accessibility is a key part of making sure that all Australians can access the CDR, but it does not cover all needs. Considering Accessibility together with Usability through an inclusive design lens gives a more holistic picture of what the Chair can do to ensure Australians can access their rights under CDR.</w:t>
      </w:r>
    </w:p>
    <w:p w:rsidR="004446CF" w:rsidP="004446CF" w:rsidRDefault="004446CF" w14:paraId="6A19E608" w14:textId="77777777">
      <w:r>
        <w:t>Designing for Accessibility primarily addresses the needs of people with disabilities. Web Accessibility means that people with disabilities can equally perceive, understand, navigate, and interact with websites and tools. It also means that they can contribute equally without barriers.  Accessibility standards are clearly outlined in Web Content Accessibility Guidelines (WCAG). Legislation and policy require compliance.</w:t>
      </w:r>
    </w:p>
    <w:p w:rsidR="004446CF" w:rsidP="004446CF" w:rsidRDefault="004446CF" w14:paraId="7E9AC168" w14:textId="77777777">
      <w:r>
        <w:t xml:space="preserve">Designing for Usability means ensuring that digital products and services are effective, efficient, and satisfying for the people who use them. Usability includes user experience (UX) design. Unlike Accessibility, however, Usability does not explicitly consider the needs of vulnerable consumers. Because Usability generally considers developing better products and services for the mainstream consumer needs, research insights and product decisions tend to skew towards mainstream societal needs. </w:t>
      </w:r>
      <w:proofErr w:type="gramStart"/>
      <w:r>
        <w:t>In order to</w:t>
      </w:r>
      <w:proofErr w:type="gramEnd"/>
      <w:r>
        <w:t xml:space="preserve"> design for vulnerable cohorts, Usability needs to be applied with an Inclusive Design perspective.</w:t>
      </w:r>
    </w:p>
    <w:p w:rsidR="004446CF" w:rsidP="004446CF" w:rsidRDefault="004446CF" w14:paraId="11FAA054" w14:textId="77777777">
      <w:r>
        <w:t xml:space="preserve">Inclusive design means creating products and services that support people of all backgrounds and abilities to successfully achieve desired outcomes. Inclusion addresses a broad range of issues including accessibility for people with disabilities; geographic location; culture; access to and quality of hardware, software, and Internet connectivity; computer literacy and skills; economic situation; education, age; and language.  </w:t>
      </w:r>
    </w:p>
    <w:p w:rsidR="004446CF" w:rsidP="004446CF" w:rsidRDefault="004446CF" w14:paraId="56E57F92" w14:textId="77777777">
      <w:r>
        <w:t>Unlike Accessibility, neither Usability or Inclusion have accepted international, or Australian, conventions that clearly articulate responsibilities to decision makers. As the Chair, and the DSB, consider embedding equal-access-of-use across the CDR’s access model, they should consider Inclusion in a broad sense. This would align with requirements under the Disability Discrimination Act (DDA), WCAG and the Australian Government Digital Service Standards.</w:t>
      </w:r>
    </w:p>
    <w:p w:rsidR="004446CF" w:rsidP="004446CF" w:rsidRDefault="004446CF" w14:paraId="3D5BE1B3" w14:textId="77777777">
      <w:r>
        <w:t>This alignment would likely require the Chair to support research into developing a framework for the CDR that considers Usability and Inclusion. The Chair should consider using this as an opportunity to support a framework which considers accessibility across the entire CDR, while ensuring that the components of the CDR for which he is responsible are compliant.</w:t>
      </w:r>
    </w:p>
    <w:p w:rsidR="004446CF" w:rsidP="004446CF" w:rsidRDefault="004446CF" w14:paraId="08EE6BD1" w14:textId="77777777"/>
    <w:p w:rsidR="007D3862" w:rsidRDefault="007D3862" w14:paraId="3DAAF7F5" w14:textId="5722302E">
      <w:pPr>
        <w:spacing w:after="160" w:line="259" w:lineRule="auto"/>
      </w:pPr>
      <w:r>
        <w:br w:type="page"/>
      </w:r>
    </w:p>
    <w:p w:rsidR="004446CF" w:rsidP="0035492E" w:rsidRDefault="004446CF" w14:paraId="62F75355" w14:textId="77777777">
      <w:pPr>
        <w:pStyle w:val="Heading2"/>
      </w:pPr>
      <w:r>
        <w:lastRenderedPageBreak/>
        <w:t>1.2</w:t>
      </w:r>
      <w:r>
        <w:tab/>
      </w:r>
      <w:r>
        <w:t>Background to the Accessibility Review</w:t>
      </w:r>
    </w:p>
    <w:p w:rsidRPr="0035492E" w:rsidR="004446CF" w:rsidP="0035492E" w:rsidRDefault="004446CF" w14:paraId="4544E235" w14:textId="77777777">
      <w:pPr>
        <w:pStyle w:val="Heading3"/>
      </w:pPr>
      <w:r w:rsidRPr="0035492E">
        <w:t>Accessibility Review</w:t>
      </w:r>
    </w:p>
    <w:p w:rsidR="004446CF" w:rsidP="004446CF" w:rsidRDefault="004446CF" w14:paraId="7EA6EE88" w14:textId="77777777">
      <w:r>
        <w:t>The Data Standards Chair (Chair), as an official of the Department of the Treasury (Treasury), commissioned PwC’s Indigenous Consulting (PIC), together with the Centre for Inclusive Design (CFID), to review accessibility obligations for the Chair, and provide recommendations to improve practice.</w:t>
      </w:r>
    </w:p>
    <w:p w:rsidR="004446CF" w:rsidP="004446CF" w:rsidRDefault="004446CF" w14:paraId="6519CB18" w14:textId="77777777">
      <w:r>
        <w:t>This included a background report, and development and assessment of a prototype through consumer testing.</w:t>
      </w:r>
    </w:p>
    <w:p w:rsidR="004446CF" w:rsidP="004446CF" w:rsidRDefault="004446CF" w14:paraId="299142F1" w14:textId="77777777">
      <w:r>
        <w:t>Accessibility obligations and conventions framework for the Data Standards Chair (Background Report).</w:t>
      </w:r>
    </w:p>
    <w:p w:rsidR="004446CF" w:rsidP="004446CF" w:rsidRDefault="004446CF" w14:paraId="44C1EE9E" w14:textId="77777777">
      <w:r>
        <w:t xml:space="preserve">In June 2022, PIC and CFID delivered a Background Report covering the Chair’s obligations for accessibility, including the future direction of these obligations, as they may relate to Data Standards, </w:t>
      </w:r>
    </w:p>
    <w:p w:rsidR="004446CF" w:rsidP="004446CF" w:rsidRDefault="004446CF" w14:paraId="5EEBFFC9" w14:textId="77777777">
      <w:r>
        <w:t>•</w:t>
      </w:r>
      <w:r>
        <w:tab/>
      </w:r>
      <w:r>
        <w:t xml:space="preserve">details of the obligations of the Chair related to Accessibility, Usability, and </w:t>
      </w:r>
      <w:proofErr w:type="gramStart"/>
      <w:r>
        <w:t>Inclusivity;</w:t>
      </w:r>
      <w:proofErr w:type="gramEnd"/>
    </w:p>
    <w:p w:rsidR="004446CF" w:rsidP="004446CF" w:rsidRDefault="004446CF" w14:paraId="1EC09A70" w14:textId="77777777">
      <w:r>
        <w:t>•</w:t>
      </w:r>
      <w:r>
        <w:tab/>
      </w:r>
      <w:r>
        <w:t xml:space="preserve">a summary of current design standards, policies, and </w:t>
      </w:r>
      <w:proofErr w:type="gramStart"/>
      <w:r>
        <w:t>frameworks;</w:t>
      </w:r>
      <w:proofErr w:type="gramEnd"/>
    </w:p>
    <w:p w:rsidR="004446CF" w:rsidP="004446CF" w:rsidRDefault="004446CF" w14:paraId="5DF17B0D" w14:textId="77777777">
      <w:r>
        <w:t>•</w:t>
      </w:r>
      <w:r>
        <w:tab/>
      </w:r>
      <w:r>
        <w:t xml:space="preserve">potential future directions of accessibility </w:t>
      </w:r>
      <w:proofErr w:type="gramStart"/>
      <w:r>
        <w:t>standards;</w:t>
      </w:r>
      <w:proofErr w:type="gramEnd"/>
    </w:p>
    <w:p w:rsidR="004446CF" w:rsidP="004446CF" w:rsidRDefault="004446CF" w14:paraId="140A7CB0" w14:textId="77777777">
      <w:r>
        <w:t>•</w:t>
      </w:r>
      <w:r>
        <w:tab/>
      </w:r>
      <w:r>
        <w:t>benefits and risks related to compliance; and</w:t>
      </w:r>
    </w:p>
    <w:p w:rsidR="004446CF" w:rsidP="004446CF" w:rsidRDefault="004446CF" w14:paraId="715E330B" w14:textId="77777777">
      <w:r>
        <w:t>•</w:t>
      </w:r>
      <w:r>
        <w:tab/>
      </w:r>
      <w:r>
        <w:t>recommendations to improve Accessibility, Usability, and Inclusivity within the Consumer Data Right (CDR).</w:t>
      </w:r>
    </w:p>
    <w:p w:rsidR="004446CF" w:rsidP="004446CF" w:rsidRDefault="004446CF" w14:paraId="45D9154C" w14:textId="77777777"/>
    <w:p w:rsidR="004446CF" w:rsidP="0035492E" w:rsidRDefault="004446CF" w14:paraId="3412D875" w14:textId="77777777">
      <w:pPr>
        <w:pStyle w:val="Heading3"/>
      </w:pPr>
      <w:r>
        <w:t>The Chair has a legal obligation to meet accessibility standards</w:t>
      </w:r>
    </w:p>
    <w:p w:rsidR="004446CF" w:rsidP="004446CF" w:rsidRDefault="004446CF" w14:paraId="5206BDCB" w14:textId="77777777">
      <w:r>
        <w:t xml:space="preserve">The Digital Transformation Agency (DTA) is the Australian Commonwealth agency that aims to provide strategic and policy leadership and investment advice and oversight to drive government digital transformation that delivers benefits to all Australians. DTA states that “You need to make sure everyone who needs your service can use it. This includes people with a disability, older people, and people who can’t use, or struggle with, digital services.”  Supporting this statement, the DTA have included Accessibility as part of the Digital Service Standards which is a set of best-practice principles for designing and delivering government services. </w:t>
      </w:r>
    </w:p>
    <w:p w:rsidR="004446CF" w:rsidP="004446CF" w:rsidRDefault="004446CF" w14:paraId="67AC04E9" w14:textId="77777777">
      <w:r>
        <w:t>Government services must be accessible to users regardless of their digital confidence, and/or access to a digital environment. This includes users in remote areas and users with different devices. This report considers accessibility and makes recommendations, and therefore is a part of the Chair discharging his duty as part of ongoing effort towards improving accessibility.</w:t>
      </w:r>
    </w:p>
    <w:p w:rsidR="004446CF" w:rsidP="004446CF" w:rsidRDefault="004446CF" w14:paraId="4D455BA0" w14:textId="77777777">
      <w:r>
        <w:t xml:space="preserve">The Chair has a legal requirement to ensure their services, and by logical extension the digital services their services instruct, are usable and accessible to people with disabilities (see the Disability Discrimination Act 1992).  Therefore, it is recommended that the Chair adopt WCAG to meet these requirements. There are multiple levels of compliance within WCAG, and the Chair needs to decide as to how to address these legal obligations. As a minimum standard, Australian Government agencies are currently required to meet the WCAG 2.0 Level </w:t>
      </w:r>
      <w:proofErr w:type="gramStart"/>
      <w:r>
        <w:t>AA .</w:t>
      </w:r>
      <w:proofErr w:type="gramEnd"/>
      <w:r>
        <w:t xml:space="preserve"> However, the Chair is expected to keep current with WCAG as it evolves. Consequently, it is strongly encouraged that the Chair support meeting WCAG 2.1 Level AA </w:t>
      </w:r>
      <w:proofErr w:type="gramStart"/>
      <w:r>
        <w:t>in order to</w:t>
      </w:r>
      <w:proofErr w:type="gramEnd"/>
      <w:r>
        <w:t xml:space="preserve"> provide a more accessible experience for users, and to help future proof the CDR against changes flagged in coming years for WCAG.</w:t>
      </w:r>
    </w:p>
    <w:p w:rsidR="007D3862" w:rsidP="004446CF" w:rsidRDefault="004446CF" w14:paraId="78D8E210" w14:textId="75BF15A4">
      <w:r>
        <w:t xml:space="preserve"> </w:t>
      </w:r>
    </w:p>
    <w:p w:rsidR="007D3862" w:rsidRDefault="007D3862" w14:paraId="3EAE1DA1" w14:textId="77777777">
      <w:pPr>
        <w:spacing w:after="160" w:line="259" w:lineRule="auto"/>
      </w:pPr>
      <w:r>
        <w:br w:type="page"/>
      </w:r>
    </w:p>
    <w:p w:rsidR="004446CF" w:rsidP="0035492E" w:rsidRDefault="004446CF" w14:paraId="336570F5" w14:textId="77777777">
      <w:pPr>
        <w:pStyle w:val="Heading1"/>
      </w:pPr>
      <w:r>
        <w:lastRenderedPageBreak/>
        <w:t>2</w:t>
      </w:r>
      <w:r>
        <w:tab/>
      </w:r>
      <w:r>
        <w:t>Methodology</w:t>
      </w:r>
    </w:p>
    <w:p w:rsidR="004446CF" w:rsidP="004446CF" w:rsidRDefault="004446CF" w14:paraId="55AB2545" w14:textId="77777777">
      <w:r>
        <w:t xml:space="preserve">The Chair commissioned PIC and CFID to assess accessibility and usability as related to the Data Standards. PIC and CFID worked as a collaborative team to complete an Accessibility Review of the CX Standards, and the CDR Consent Model.  This Review was conducted on the Accessibility benchmarks identified in the Accessibility Obligations and Conventions Framework for the Data Standards Chair (Background Report), previously delivered to the Chair.  </w:t>
      </w:r>
    </w:p>
    <w:p w:rsidR="004446CF" w:rsidP="004446CF" w:rsidRDefault="004446CF" w14:paraId="21C19FBC" w14:textId="77777777">
      <w:r>
        <w:t>To complete the review, the PIC and CFID team completed:</w:t>
      </w:r>
    </w:p>
    <w:p w:rsidR="004446CF" w:rsidP="004446CF" w:rsidRDefault="004446CF" w14:paraId="1C19B6B5" w14:textId="77777777">
      <w:r>
        <w:t>1.</w:t>
      </w:r>
      <w:r>
        <w:tab/>
      </w:r>
      <w:r>
        <w:t>Review of the Consent Model data flows with respect to WCAG. The context, methodology and findings for this are given in Section 3 of this report.</w:t>
      </w:r>
    </w:p>
    <w:p w:rsidR="004446CF" w:rsidP="004446CF" w:rsidRDefault="004446CF" w14:paraId="2182F534" w14:textId="77777777">
      <w:r>
        <w:t>2.</w:t>
      </w:r>
      <w:r>
        <w:tab/>
      </w:r>
      <w:r>
        <w:t>Review of the CX Data Standards: The context, methodology and findings for this are given in Section 4 of this report.</w:t>
      </w:r>
    </w:p>
    <w:p w:rsidR="004446CF" w:rsidP="004446CF" w:rsidRDefault="004446CF" w14:paraId="38058F41" w14:textId="77777777">
      <w:r>
        <w:t>3.</w:t>
      </w:r>
      <w:r>
        <w:tab/>
      </w:r>
      <w:r>
        <w:t>Build of a prototype, for use in user testing and to form the basis for future builds. Details of the prototype, including where to download relevant documents, code etc are given in Appendix B of this report.</w:t>
      </w:r>
    </w:p>
    <w:p w:rsidR="004446CF" w:rsidP="004446CF" w:rsidRDefault="004446CF" w14:paraId="48556F67" w14:textId="77777777">
      <w:r>
        <w:t>4.</w:t>
      </w:r>
      <w:r>
        <w:tab/>
      </w:r>
      <w:r>
        <w:t>Heuristics review. The context, methodology and findings for this are given in Section 5 of this report.</w:t>
      </w:r>
    </w:p>
    <w:p w:rsidR="004446CF" w:rsidP="004446CF" w:rsidRDefault="004446CF" w14:paraId="109FA481" w14:textId="77777777">
      <w:r>
        <w:t>5.</w:t>
      </w:r>
      <w:r>
        <w:tab/>
      </w:r>
      <w:r>
        <w:t>Consumer testing with relevant consumers. The context, methodology and findings for this are given in Section 6 of this report.</w:t>
      </w:r>
    </w:p>
    <w:p w:rsidR="004446CF" w:rsidP="004446CF" w:rsidRDefault="004446CF" w14:paraId="5776936C" w14:textId="77777777">
      <w:r>
        <w:t>From these analyses, themes of insights and issues are developed and shared, including recommendations for addressing where appropriate. These were then analysed and combined to develop 7 recommendations to improve Accessibility, Usability, and Inclusivity within the CDR (three of these were already shared in the Background report).</w:t>
      </w:r>
    </w:p>
    <w:p w:rsidR="0035492E" w:rsidP="004446CF" w:rsidRDefault="004446CF" w14:paraId="4760B178" w14:textId="19429CD6">
      <w:r>
        <w:t>These recommendations, including detail and prioritisation form Section 7 of this report, which is the basis of an improvement plan for the Chair to consider.</w:t>
      </w:r>
    </w:p>
    <w:p w:rsidR="0035492E" w:rsidRDefault="0035492E" w14:paraId="2B876E72" w14:textId="77777777">
      <w:pPr>
        <w:spacing w:after="160" w:line="259" w:lineRule="auto"/>
      </w:pPr>
      <w:r>
        <w:br w:type="page"/>
      </w:r>
    </w:p>
    <w:p w:rsidR="001F4829" w:rsidP="001F4829" w:rsidRDefault="001F4829" w14:paraId="5BBC9944" w14:textId="608E2160">
      <w:pPr>
        <w:pStyle w:val="Heading1"/>
      </w:pPr>
      <w:bookmarkStart w:name="_Toc115693171" w:id="12"/>
      <w:r>
        <w:lastRenderedPageBreak/>
        <w:t>3</w:t>
      </w:r>
      <w:r>
        <w:tab/>
      </w:r>
      <w:r w:rsidRPr="001040BF">
        <w:t>Consent Model: WCAG Review of Flows</w:t>
      </w:r>
      <w:bookmarkEnd w:id="12"/>
    </w:p>
    <w:p w:rsidR="001F4829" w:rsidP="001F4829" w:rsidRDefault="00850054" w14:paraId="6D509DD1" w14:textId="504B56FD">
      <w:pPr>
        <w:pStyle w:val="Heading2"/>
      </w:pPr>
      <w:r>
        <w:t>3.1</w:t>
      </w:r>
      <w:r>
        <w:tab/>
      </w:r>
      <w:r w:rsidR="001F4829">
        <w:t xml:space="preserve">Context </w:t>
      </w:r>
    </w:p>
    <w:p w:rsidR="001F4829" w:rsidP="00850054" w:rsidRDefault="001F4829" w14:paraId="48C34C24" w14:textId="77777777">
      <w:r>
        <w:t>The consent, authorise and authenticate flow wireframes from the CX Guidelines – provided on Notion – was reviewed for Accessibility against WCAG 2.1 AA, as per the obligations identified in the Background Report.</w:t>
      </w:r>
    </w:p>
    <w:p w:rsidR="001F4829" w:rsidP="00850054" w:rsidRDefault="001F4829" w14:paraId="074CEC9B" w14:textId="77777777">
      <w:pPr>
        <w:rPr>
          <w:rFonts w:eastAsia="Georgia" w:cs="Georgia"/>
        </w:rPr>
      </w:pPr>
      <w:r w:rsidRPr="00FF1154">
        <w:rPr>
          <w:rFonts w:eastAsia="Georgia" w:cs="Georgia"/>
        </w:rPr>
        <w:t xml:space="preserve">The wireframes were developed by the CDR team to demonstrate the CX Standards and Guidelines in a product application that provides optional examples of key requirements and recommendations to help organisations build best practice consent models. </w:t>
      </w:r>
    </w:p>
    <w:p w:rsidR="001F4829" w:rsidP="00850054" w:rsidRDefault="001F4829" w14:paraId="2D1D9C86" w14:textId="77777777">
      <w:r>
        <w:t xml:space="preserve">As the wireframes are artefacts for third party CDR developers, possible Accessibility issues need to be identified and communicated </w:t>
      </w:r>
      <w:proofErr w:type="gramStart"/>
      <w:r>
        <w:t>in order to</w:t>
      </w:r>
      <w:proofErr w:type="gramEnd"/>
      <w:r>
        <w:t xml:space="preserve"> prevent the unintentional promotion of Accessibility failures, and/or cause unnecessary re-work. </w:t>
      </w:r>
    </w:p>
    <w:p w:rsidR="001F4829" w:rsidP="001F4829" w:rsidRDefault="001F4829" w14:paraId="640A8C95" w14:textId="77777777">
      <w:pPr>
        <w:pStyle w:val="PwCNormal"/>
        <w:numPr>
          <w:ilvl w:val="0"/>
          <w:numId w:val="0"/>
        </w:numPr>
        <w:rPr>
          <w:rFonts w:eastAsia="Georgia"/>
        </w:rPr>
      </w:pPr>
    </w:p>
    <w:p w:rsidR="001F4829" w:rsidP="001F4829" w:rsidRDefault="00850054" w14:paraId="03C00A0C" w14:textId="58231440">
      <w:pPr>
        <w:pStyle w:val="Heading2"/>
      </w:pPr>
      <w:r>
        <w:t>3.2</w:t>
      </w:r>
      <w:r>
        <w:tab/>
      </w:r>
      <w:r w:rsidR="001F4829">
        <w:t>Methodology</w:t>
      </w:r>
    </w:p>
    <w:p w:rsidR="001F4829" w:rsidP="00850054" w:rsidRDefault="001F4829" w14:paraId="794E20A2" w14:textId="77777777">
      <w:r>
        <w:t>The various elements reviewed included:</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939"/>
        <w:gridCol w:w="4926"/>
      </w:tblGrid>
      <w:tr w:rsidR="001F4829" w:rsidTr="00483F75" w14:paraId="75C5D146" w14:textId="77777777">
        <w:tc>
          <w:tcPr>
            <w:tcW w:w="5041" w:type="dxa"/>
          </w:tcPr>
          <w:p w:rsidRPr="00850054" w:rsidR="001F4829" w:rsidP="001F4829" w:rsidRDefault="001F4829" w14:paraId="4546E27C" w14:textId="77777777">
            <w:pPr>
              <w:pStyle w:val="PwCNormal"/>
              <w:numPr>
                <w:ilvl w:val="0"/>
                <w:numId w:val="11"/>
              </w:numPr>
              <w:rPr>
                <w:rFonts w:asciiTheme="minorHAnsi" w:hAnsiTheme="minorHAnsi" w:cstheme="minorHAnsi"/>
              </w:rPr>
            </w:pPr>
            <w:r w:rsidRPr="00850054">
              <w:rPr>
                <w:rFonts w:asciiTheme="minorHAnsi" w:hAnsiTheme="minorHAnsi" w:cstheme="minorHAnsi"/>
              </w:rPr>
              <w:t xml:space="preserve">Colour palette and accessible colour schemes that meet contrast requirements </w:t>
            </w:r>
          </w:p>
        </w:tc>
        <w:tc>
          <w:tcPr>
            <w:tcW w:w="5042" w:type="dxa"/>
          </w:tcPr>
          <w:p w:rsidRPr="00850054" w:rsidR="001F4829" w:rsidP="001F4829" w:rsidRDefault="001F4829" w14:paraId="4B6B7DCC" w14:textId="77777777">
            <w:pPr>
              <w:pStyle w:val="PwCNormal"/>
              <w:numPr>
                <w:ilvl w:val="0"/>
                <w:numId w:val="11"/>
              </w:numPr>
              <w:rPr>
                <w:rFonts w:asciiTheme="minorHAnsi" w:hAnsiTheme="minorHAnsi" w:cstheme="minorHAnsi"/>
              </w:rPr>
            </w:pPr>
            <w:r w:rsidRPr="00850054">
              <w:rPr>
                <w:rFonts w:asciiTheme="minorHAnsi" w:hAnsiTheme="minorHAnsi" w:cstheme="minorHAnsi"/>
              </w:rPr>
              <w:t xml:space="preserve">Use of imagery and images of text </w:t>
            </w:r>
          </w:p>
        </w:tc>
      </w:tr>
      <w:tr w:rsidR="001F4829" w:rsidTr="00483F75" w14:paraId="7818C247" w14:textId="77777777">
        <w:tc>
          <w:tcPr>
            <w:tcW w:w="5041" w:type="dxa"/>
          </w:tcPr>
          <w:p w:rsidRPr="00850054" w:rsidR="001F4829" w:rsidP="001F4829" w:rsidRDefault="001F4829" w14:paraId="40FA6649" w14:textId="77777777">
            <w:pPr>
              <w:pStyle w:val="PwCNormal"/>
              <w:numPr>
                <w:ilvl w:val="0"/>
                <w:numId w:val="11"/>
              </w:numPr>
              <w:rPr>
                <w:rFonts w:asciiTheme="minorHAnsi" w:hAnsiTheme="minorHAnsi" w:cstheme="minorHAnsi"/>
              </w:rPr>
            </w:pPr>
            <w:r w:rsidRPr="00850054">
              <w:rPr>
                <w:rFonts w:asciiTheme="minorHAnsi" w:hAnsiTheme="minorHAnsi" w:cstheme="minorHAnsi"/>
              </w:rPr>
              <w:t xml:space="preserve">Typography and font selection </w:t>
            </w:r>
          </w:p>
        </w:tc>
        <w:tc>
          <w:tcPr>
            <w:tcW w:w="5042" w:type="dxa"/>
          </w:tcPr>
          <w:p w:rsidRPr="00850054" w:rsidR="001F4829" w:rsidP="001F4829" w:rsidRDefault="001F4829" w14:paraId="6132E219" w14:textId="77777777">
            <w:pPr>
              <w:pStyle w:val="PwCNormal"/>
              <w:numPr>
                <w:ilvl w:val="0"/>
                <w:numId w:val="11"/>
              </w:numPr>
              <w:rPr>
                <w:rFonts w:asciiTheme="minorHAnsi" w:hAnsiTheme="minorHAnsi" w:cstheme="minorHAnsi"/>
              </w:rPr>
            </w:pPr>
            <w:r w:rsidRPr="00850054">
              <w:rPr>
                <w:rFonts w:asciiTheme="minorHAnsi" w:hAnsiTheme="minorHAnsi" w:cstheme="minorHAnsi"/>
              </w:rPr>
              <w:t xml:space="preserve">Layout and logical read order </w:t>
            </w:r>
          </w:p>
        </w:tc>
      </w:tr>
      <w:tr w:rsidR="001F4829" w:rsidTr="00483F75" w14:paraId="271433A6" w14:textId="77777777">
        <w:tc>
          <w:tcPr>
            <w:tcW w:w="5041" w:type="dxa"/>
          </w:tcPr>
          <w:p w:rsidRPr="00850054" w:rsidR="001F4829" w:rsidP="001F4829" w:rsidRDefault="001F4829" w14:paraId="68E21EE4" w14:textId="77777777">
            <w:pPr>
              <w:pStyle w:val="PwCNormal"/>
              <w:numPr>
                <w:ilvl w:val="0"/>
                <w:numId w:val="11"/>
              </w:numPr>
              <w:rPr>
                <w:rFonts w:asciiTheme="minorHAnsi" w:hAnsiTheme="minorHAnsi" w:cstheme="minorHAnsi"/>
              </w:rPr>
            </w:pPr>
            <w:r w:rsidRPr="00850054">
              <w:rPr>
                <w:rFonts w:asciiTheme="minorHAnsi" w:hAnsiTheme="minorHAnsi" w:cstheme="minorHAnsi"/>
              </w:rPr>
              <w:t xml:space="preserve">Navigation, including drop down menus </w:t>
            </w:r>
          </w:p>
        </w:tc>
        <w:tc>
          <w:tcPr>
            <w:tcW w:w="5042" w:type="dxa"/>
          </w:tcPr>
          <w:p w:rsidRPr="00850054" w:rsidR="001F4829" w:rsidP="001F4829" w:rsidRDefault="001F4829" w14:paraId="45C80FD5" w14:textId="77777777">
            <w:pPr>
              <w:pStyle w:val="PwCNormal"/>
              <w:numPr>
                <w:ilvl w:val="0"/>
                <w:numId w:val="11"/>
              </w:numPr>
              <w:rPr>
                <w:rFonts w:asciiTheme="minorHAnsi" w:hAnsiTheme="minorHAnsi" w:cstheme="minorHAnsi"/>
              </w:rPr>
            </w:pPr>
            <w:r w:rsidRPr="00850054">
              <w:rPr>
                <w:rFonts w:asciiTheme="minorHAnsi" w:hAnsiTheme="minorHAnsi" w:cstheme="minorHAnsi"/>
              </w:rPr>
              <w:t xml:space="preserve">On focus buttons and form fields </w:t>
            </w:r>
          </w:p>
        </w:tc>
      </w:tr>
      <w:tr w:rsidR="001F4829" w:rsidTr="00483F75" w14:paraId="1276F854" w14:textId="77777777">
        <w:tc>
          <w:tcPr>
            <w:tcW w:w="5041" w:type="dxa"/>
          </w:tcPr>
          <w:p w:rsidRPr="00850054" w:rsidR="001F4829" w:rsidP="001F4829" w:rsidRDefault="001F4829" w14:paraId="4D0E35E7" w14:textId="77777777">
            <w:pPr>
              <w:pStyle w:val="PwCNormal"/>
              <w:numPr>
                <w:ilvl w:val="0"/>
                <w:numId w:val="11"/>
              </w:numPr>
              <w:rPr>
                <w:rFonts w:asciiTheme="minorHAnsi" w:hAnsiTheme="minorHAnsi" w:cstheme="minorHAnsi"/>
              </w:rPr>
            </w:pPr>
            <w:r w:rsidRPr="00850054">
              <w:rPr>
                <w:rFonts w:asciiTheme="minorHAnsi" w:hAnsiTheme="minorHAnsi" w:cstheme="minorHAnsi"/>
              </w:rPr>
              <w:t xml:space="preserve">Heading levels and heading structure </w:t>
            </w:r>
          </w:p>
        </w:tc>
        <w:tc>
          <w:tcPr>
            <w:tcW w:w="5042" w:type="dxa"/>
          </w:tcPr>
          <w:p w:rsidRPr="00850054" w:rsidR="001F4829" w:rsidP="001F4829" w:rsidRDefault="001F4829" w14:paraId="3536CD83" w14:textId="77777777">
            <w:pPr>
              <w:pStyle w:val="PwCNormal"/>
              <w:numPr>
                <w:ilvl w:val="0"/>
                <w:numId w:val="11"/>
              </w:numPr>
              <w:rPr>
                <w:rFonts w:asciiTheme="minorHAnsi" w:hAnsiTheme="minorHAnsi" w:cstheme="minorHAnsi"/>
              </w:rPr>
            </w:pPr>
            <w:r w:rsidRPr="00850054">
              <w:rPr>
                <w:rFonts w:asciiTheme="minorHAnsi" w:hAnsiTheme="minorHAnsi" w:cstheme="minorHAnsi"/>
              </w:rPr>
              <w:t>Error handling and alerts.</w:t>
            </w:r>
          </w:p>
        </w:tc>
      </w:tr>
    </w:tbl>
    <w:p w:rsidR="001F4829" w:rsidP="00850054" w:rsidRDefault="001F4829" w14:paraId="79216AE8" w14:textId="77777777">
      <w:pPr>
        <w:rPr>
          <w:rFonts w:eastAsia="Georgia"/>
        </w:rPr>
      </w:pPr>
      <w:r w:rsidRPr="007F02A7">
        <w:rPr>
          <w:rFonts w:eastAsia="Georgia"/>
        </w:rPr>
        <w:t>The</w:t>
      </w:r>
      <w:r>
        <w:rPr>
          <w:rFonts w:eastAsia="Georgia"/>
        </w:rPr>
        <w:t xml:space="preserve"> findings are grouped into</w:t>
      </w:r>
      <w:r w:rsidRPr="007F02A7">
        <w:rPr>
          <w:rFonts w:eastAsia="Georgia"/>
        </w:rPr>
        <w:t xml:space="preserve"> </w:t>
      </w:r>
      <w:r>
        <w:rPr>
          <w:rFonts w:eastAsia="Georgia"/>
        </w:rPr>
        <w:t>themes, which include</w:t>
      </w:r>
      <w:r w:rsidRPr="007F02A7">
        <w:rPr>
          <w:rFonts w:eastAsia="Georgia"/>
        </w:rPr>
        <w:t xml:space="preserve"> common issues that should be considered when applying and implementing a WCAG compliant CDR.</w:t>
      </w:r>
    </w:p>
    <w:p w:rsidRPr="00FF1154" w:rsidR="001F4829" w:rsidP="00850054" w:rsidRDefault="001F4829" w14:paraId="120F2F8F" w14:textId="77777777">
      <w:pPr>
        <w:rPr>
          <w:rFonts w:eastAsia="Georgia" w:cs="Georgia"/>
        </w:rPr>
      </w:pPr>
      <w:r>
        <w:rPr>
          <w:rFonts w:eastAsia="Georgia"/>
        </w:rPr>
        <w:t>Themes include both current issues identified through the review, and best practice reminders which may be minor or not currently issues, but which could emerge and should be kept front of mind in future design and development.</w:t>
      </w:r>
    </w:p>
    <w:p w:rsidRPr="00FF1154" w:rsidR="001F4829" w:rsidP="00850054" w:rsidRDefault="001F4829" w14:paraId="6BA03C5D" w14:textId="77777777">
      <w:pPr>
        <w:rPr>
          <w:rFonts w:eastAsia="Georgia" w:cs="Georgia"/>
        </w:rPr>
      </w:pPr>
      <w:r>
        <w:rPr>
          <w:rFonts w:eastAsia="Georgia" w:cs="Georgia"/>
        </w:rPr>
        <w:t xml:space="preserve">Themes </w:t>
      </w:r>
      <w:r w:rsidRPr="00FF1154">
        <w:rPr>
          <w:rFonts w:eastAsia="Georgia" w:cs="Georgia"/>
        </w:rPr>
        <w:t xml:space="preserve">have been given a severity rating of high, medium, or low. The rationale behind each rating is described below. </w:t>
      </w:r>
    </w:p>
    <w:p w:rsidRPr="00850054" w:rsidR="001F4829" w:rsidP="001B0846" w:rsidRDefault="001F4829" w14:paraId="7D38BD8F" w14:textId="77777777">
      <w:pPr>
        <w:pStyle w:val="Bulletpointdot"/>
      </w:pPr>
      <w:r w:rsidRPr="00850054">
        <w:t>A high severity issue indicates a roadblock. Someone with a disability will be completely unable to do an action on the website because of the accessibility Issue. Lack of keyboard control is a good example of a high severity issue.</w:t>
      </w:r>
    </w:p>
    <w:p w:rsidRPr="00850054" w:rsidR="001F4829" w:rsidP="001B0846" w:rsidRDefault="001F4829" w14:paraId="04CD07DF" w14:textId="77777777">
      <w:pPr>
        <w:pStyle w:val="Bulletpointdot"/>
      </w:pPr>
      <w:r w:rsidRPr="00850054">
        <w:t>A medium severity issue means that the issue makes things difficult for someone with a disability. The action may be possible, but it is likely to be difficult or frustrating. Non-semantic labels for form field levels are a good example of a medium severity issue.</w:t>
      </w:r>
    </w:p>
    <w:p w:rsidRPr="00405541" w:rsidR="001F4829" w:rsidP="001B0846" w:rsidRDefault="001F4829" w14:paraId="48B39F4C" w14:textId="77777777">
      <w:pPr>
        <w:pStyle w:val="Bulletpointdot"/>
      </w:pPr>
      <w:r w:rsidRPr="00850054">
        <w:t>A low severity issue means that while the issue technically fails WCAG 2.0, it is not an issue that’s likely to be too problematic. An example could be a decorative image having an unnecessary short alt text</w:t>
      </w:r>
      <w:r w:rsidRPr="004C1C8D">
        <w:t>.</w:t>
      </w:r>
    </w:p>
    <w:p w:rsidR="001F4829" w:rsidP="00850054" w:rsidRDefault="001F4829" w14:paraId="2DF303AC" w14:textId="77777777">
      <w:r>
        <w:t>Adhering to the Department of Finance’s Gateway review methodology, a secondary accessibility review of the CDR consent model at its next development milestone would ensure the identified issues were resolved and no new issues had arisen and that obligations identified in the Background Report have been fulfilled.</w:t>
      </w:r>
    </w:p>
    <w:p w:rsidR="009E6E9F" w:rsidP="009E6E9F" w:rsidRDefault="009E6E9F" w14:paraId="6271B123" w14:textId="3AFFF2AB"/>
    <w:p w:rsidR="009E6E9F" w:rsidP="009E6E9F" w:rsidRDefault="009E6E9F" w14:paraId="080D5222" w14:textId="021484D3"/>
    <w:p w:rsidR="009E6E9F" w:rsidP="009E6E9F" w:rsidRDefault="009E6E9F" w14:paraId="6838350B" w14:textId="4F57CF26"/>
    <w:p w:rsidRPr="009E6E9F" w:rsidR="009E6E9F" w:rsidP="009E6E9F" w:rsidRDefault="009E6E9F" w14:paraId="76B2C1B6" w14:textId="77777777"/>
    <w:p w:rsidR="00207730" w:rsidP="00207730" w:rsidRDefault="00207730" w14:paraId="328FFB8E" w14:textId="2D72DF17">
      <w:pPr>
        <w:pStyle w:val="Heading2"/>
      </w:pPr>
      <w:r>
        <w:lastRenderedPageBreak/>
        <w:t>3.3</w:t>
      </w:r>
      <w:r>
        <w:tab/>
      </w:r>
      <w:r w:rsidRPr="002D5CF3">
        <w:t>Limitations</w:t>
      </w:r>
    </w:p>
    <w:p w:rsidR="00207730" w:rsidP="00207730" w:rsidRDefault="00207730" w14:paraId="58B257C4" w14:textId="77777777">
      <w:r>
        <w:t xml:space="preserve">As this review was conducted on static wireframes there are some limitations to testing. Testing with assistive technology is not appropriate in this environment. The review covered all level A and AA success criteria that could be applied to the wireframes. We also sought to identify any expected flows that were missing in the wireframes. </w:t>
      </w:r>
    </w:p>
    <w:p w:rsidR="00207730" w:rsidP="00207730" w:rsidRDefault="00207730" w14:paraId="4CDDEA98" w14:textId="77777777">
      <w:pPr>
        <w:rPr>
          <w:rFonts w:eastAsia="Georgia"/>
        </w:rPr>
      </w:pPr>
      <w:r w:rsidRPr="007F02A7">
        <w:rPr>
          <w:rFonts w:eastAsia="Georgia"/>
        </w:rPr>
        <w:t xml:space="preserve">The </w:t>
      </w:r>
      <w:r>
        <w:rPr>
          <w:rFonts w:eastAsia="Georgia"/>
        </w:rPr>
        <w:t>themes</w:t>
      </w:r>
      <w:r w:rsidRPr="007F02A7">
        <w:rPr>
          <w:rFonts w:eastAsia="Georgia"/>
        </w:rPr>
        <w:t xml:space="preserve"> identified in this section were found through the review of the wireframes </w:t>
      </w:r>
      <w:r w:rsidRPr="007F02A7">
        <w:t>only (excluding focus order notes)</w:t>
      </w:r>
      <w:r w:rsidRPr="007F02A7">
        <w:rPr>
          <w:rFonts w:eastAsia="Georgia"/>
        </w:rPr>
        <w:t>. Future review of these notes may address some of the issues identified in this report and should be considered as part of ongoing work.</w:t>
      </w:r>
    </w:p>
    <w:p w:rsidR="00207730" w:rsidP="00207730" w:rsidRDefault="00207730" w14:paraId="787DB4BD" w14:textId="77777777">
      <w:pPr>
        <w:rPr>
          <w:rFonts w:eastAsia="Georgia"/>
        </w:rPr>
      </w:pPr>
      <w:r w:rsidRPr="007F02A7">
        <w:rPr>
          <w:rFonts w:eastAsia="Georgia"/>
        </w:rPr>
        <w:t xml:space="preserve">While there are limitations from our initial wireframe review, these issues were then passed onto the prototyping team to resolve during the coded prototype development process.  </w:t>
      </w:r>
    </w:p>
    <w:p w:rsidR="00207730" w:rsidP="00207730" w:rsidRDefault="00207730" w14:paraId="098BA99B" w14:textId="5E7D2CF0">
      <w:pPr>
        <w:pStyle w:val="Heading2"/>
        <w:rPr>
          <w:rFonts w:eastAsia="Georgia"/>
        </w:rPr>
      </w:pPr>
      <w:r>
        <w:rPr>
          <w:rFonts w:eastAsia="Georgia"/>
        </w:rPr>
        <w:t>3.4</w:t>
      </w:r>
      <w:r>
        <w:rPr>
          <w:rFonts w:eastAsia="Georgia"/>
        </w:rPr>
        <w:tab/>
      </w:r>
      <w:r>
        <w:rPr>
          <w:rFonts w:eastAsia="Georgia"/>
        </w:rPr>
        <w:t>Findings</w:t>
      </w:r>
    </w:p>
    <w:p w:rsidRPr="003F37A9" w:rsidR="001448FD" w:rsidP="003F37A9" w:rsidRDefault="001448FD" w14:paraId="028F4F45" w14:textId="77777777"/>
    <w:tbl>
      <w:tblPr>
        <w:tblStyle w:val="ListTable3-Accent1"/>
        <w:tblW w:w="9860" w:type="dxa"/>
        <w:tblLook w:val="04A0" w:firstRow="1" w:lastRow="0" w:firstColumn="1" w:lastColumn="0" w:noHBand="0" w:noVBand="1"/>
      </w:tblPr>
      <w:tblGrid>
        <w:gridCol w:w="1898"/>
        <w:gridCol w:w="7962"/>
      </w:tblGrid>
      <w:tr w:rsidRPr="003F37A9" w:rsidR="007E49CF" w:rsidTr="00483F75" w14:paraId="1D89BE0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860" w:type="dxa"/>
            <w:gridSpan w:val="2"/>
          </w:tcPr>
          <w:p w:rsidRPr="003F37A9" w:rsidR="007E49CF" w:rsidP="003F37A9" w:rsidRDefault="007E49CF" w14:paraId="4EE0B4ED" w14:textId="79D6062D">
            <w:pPr>
              <w:rPr>
                <w:rFonts w:asciiTheme="minorHAnsi" w:hAnsiTheme="minorHAnsi"/>
                <w:sz w:val="24"/>
                <w:szCs w:val="24"/>
              </w:rPr>
            </w:pPr>
            <w:r w:rsidRPr="00B67BB6">
              <w:rPr>
                <w:rFonts w:asciiTheme="minorHAnsi" w:hAnsiTheme="minorHAnsi"/>
                <w:color w:val="auto"/>
                <w:sz w:val="24"/>
                <w:szCs w:val="24"/>
              </w:rPr>
              <w:t>Theme 1 – Colour contrast ratios</w:t>
            </w:r>
          </w:p>
        </w:tc>
      </w:tr>
      <w:tr w:rsidRPr="006D229A" w:rsidR="006D229A" w:rsidTr="007E49CF" w14:paraId="7CABA2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tcPr>
          <w:p w:rsidRPr="006D229A" w:rsidR="001448FD" w:rsidP="003F37A9" w:rsidRDefault="001448FD" w14:paraId="484C8396" w14:textId="77777777">
            <w:pPr>
              <w:rPr>
                <w:rFonts w:asciiTheme="minorHAnsi" w:hAnsiTheme="minorHAnsi"/>
              </w:rPr>
            </w:pPr>
            <w:r w:rsidRPr="006D229A">
              <w:rPr>
                <w:rFonts w:asciiTheme="minorHAnsi" w:hAnsiTheme="minorHAnsi"/>
              </w:rPr>
              <w:t>Severity</w:t>
            </w:r>
          </w:p>
        </w:tc>
        <w:tc>
          <w:tcPr>
            <w:tcW w:w="7962" w:type="dxa"/>
          </w:tcPr>
          <w:p w:rsidRPr="006D229A" w:rsidR="001448FD" w:rsidP="003F37A9" w:rsidRDefault="001448FD" w14:paraId="3A60F84B"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High</w:t>
            </w:r>
          </w:p>
          <w:p w:rsidRPr="006D229A" w:rsidR="001448FD" w:rsidP="003F37A9" w:rsidRDefault="001448FD" w14:paraId="3522372E"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 xml:space="preserve">Current issue – the colour contrast ratio not explicit on all screens, insufficient contrast ratio will make the app unusable for people with colour blindness/low vision. </w:t>
            </w:r>
          </w:p>
        </w:tc>
      </w:tr>
      <w:tr w:rsidRPr="006D229A" w:rsidR="006D229A" w:rsidTr="007E49CF" w14:paraId="0BCC5562" w14:textId="77777777">
        <w:tc>
          <w:tcPr>
            <w:cnfStyle w:val="001000000000" w:firstRow="0" w:lastRow="0" w:firstColumn="1" w:lastColumn="0" w:oddVBand="0" w:evenVBand="0" w:oddHBand="0" w:evenHBand="0" w:firstRowFirstColumn="0" w:firstRowLastColumn="0" w:lastRowFirstColumn="0" w:lastRowLastColumn="0"/>
            <w:tcW w:w="1898" w:type="dxa"/>
          </w:tcPr>
          <w:p w:rsidRPr="006D229A" w:rsidR="001448FD" w:rsidP="003F37A9" w:rsidRDefault="001448FD" w14:paraId="5F8D6F56" w14:textId="77777777">
            <w:pPr>
              <w:rPr>
                <w:rFonts w:asciiTheme="minorHAnsi" w:hAnsiTheme="minorHAnsi"/>
              </w:rPr>
            </w:pPr>
            <w:r w:rsidRPr="006D229A">
              <w:rPr>
                <w:rFonts w:asciiTheme="minorHAnsi" w:hAnsiTheme="minorHAnsi"/>
              </w:rPr>
              <w:t>Flows, Screens, and devices effected</w:t>
            </w:r>
          </w:p>
        </w:tc>
        <w:tc>
          <w:tcPr>
            <w:tcW w:w="7962" w:type="dxa"/>
          </w:tcPr>
          <w:p w:rsidRPr="006D229A" w:rsidR="001448FD" w:rsidP="003F37A9" w:rsidRDefault="001448FD" w14:paraId="4FF52D0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All flows, all screens, all devices</w:t>
            </w:r>
          </w:p>
        </w:tc>
      </w:tr>
      <w:tr w:rsidRPr="006D229A" w:rsidR="006D229A" w:rsidTr="007E49CF" w14:paraId="04839F4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tcPr>
          <w:p w:rsidRPr="006D229A" w:rsidR="001448FD" w:rsidP="003F37A9" w:rsidRDefault="001448FD" w14:paraId="38F45829" w14:textId="77777777">
            <w:pPr>
              <w:rPr>
                <w:rFonts w:asciiTheme="minorHAnsi" w:hAnsiTheme="minorHAnsi"/>
              </w:rPr>
            </w:pPr>
            <w:r w:rsidRPr="006D229A">
              <w:rPr>
                <w:rFonts w:asciiTheme="minorHAnsi" w:hAnsiTheme="minorHAnsi"/>
              </w:rPr>
              <w:t>Issue Description</w:t>
            </w:r>
          </w:p>
        </w:tc>
        <w:tc>
          <w:tcPr>
            <w:tcW w:w="7962" w:type="dxa"/>
          </w:tcPr>
          <w:p w:rsidRPr="006D229A" w:rsidR="001448FD" w:rsidP="003F37A9" w:rsidRDefault="001448FD" w14:paraId="10E6E248"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The colour of the visible focus indicator is not clear</w:t>
            </w:r>
          </w:p>
        </w:tc>
      </w:tr>
      <w:tr w:rsidRPr="006D229A" w:rsidR="006D229A" w:rsidTr="007E49CF" w14:paraId="1E23B673" w14:textId="77777777">
        <w:tc>
          <w:tcPr>
            <w:cnfStyle w:val="001000000000" w:firstRow="0" w:lastRow="0" w:firstColumn="1" w:lastColumn="0" w:oddVBand="0" w:evenVBand="0" w:oddHBand="0" w:evenHBand="0" w:firstRowFirstColumn="0" w:firstRowLastColumn="0" w:lastRowFirstColumn="0" w:lastRowLastColumn="0"/>
            <w:tcW w:w="1898" w:type="dxa"/>
          </w:tcPr>
          <w:p w:rsidRPr="006D229A" w:rsidR="001448FD" w:rsidP="003F37A9" w:rsidRDefault="001448FD" w14:paraId="48822655" w14:textId="77777777">
            <w:pPr>
              <w:rPr>
                <w:rFonts w:asciiTheme="minorHAnsi" w:hAnsiTheme="minorHAnsi"/>
              </w:rPr>
            </w:pPr>
            <w:r w:rsidRPr="006D229A">
              <w:rPr>
                <w:rFonts w:asciiTheme="minorHAnsi" w:hAnsiTheme="minorHAnsi"/>
              </w:rPr>
              <w:t>Screen Capture</w:t>
            </w:r>
          </w:p>
        </w:tc>
        <w:tc>
          <w:tcPr>
            <w:tcW w:w="7962" w:type="dxa"/>
          </w:tcPr>
          <w:p w:rsidRPr="006D229A" w:rsidR="001448FD" w:rsidP="003F37A9" w:rsidRDefault="001448FD" w14:paraId="440565E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NA</w:t>
            </w:r>
          </w:p>
        </w:tc>
      </w:tr>
      <w:tr w:rsidRPr="006D229A" w:rsidR="006D229A" w:rsidTr="007E49CF" w14:paraId="714F06D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tcPr>
          <w:p w:rsidRPr="006D229A" w:rsidR="001448FD" w:rsidP="003F37A9" w:rsidRDefault="001448FD" w14:paraId="5B1B1798" w14:textId="77777777">
            <w:pPr>
              <w:rPr>
                <w:rFonts w:asciiTheme="minorHAnsi" w:hAnsiTheme="minorHAnsi"/>
              </w:rPr>
            </w:pPr>
            <w:r w:rsidRPr="006D229A">
              <w:rPr>
                <w:rFonts w:asciiTheme="minorHAnsi" w:hAnsiTheme="minorHAnsi"/>
              </w:rPr>
              <w:t>Remediation Advice</w:t>
            </w:r>
          </w:p>
        </w:tc>
        <w:tc>
          <w:tcPr>
            <w:tcW w:w="7962" w:type="dxa"/>
          </w:tcPr>
          <w:p w:rsidRPr="006D229A" w:rsidR="001448FD" w:rsidP="003F37A9" w:rsidRDefault="001448FD" w14:paraId="3964F670"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Ensure that every focusable element receives a visible focus indicator. Ensure that the indicator is WCAG compliant</w:t>
            </w:r>
          </w:p>
        </w:tc>
      </w:tr>
      <w:tr w:rsidRPr="006D229A" w:rsidR="006D229A" w:rsidTr="007E49CF" w14:paraId="1D76C717" w14:textId="77777777">
        <w:tc>
          <w:tcPr>
            <w:cnfStyle w:val="001000000000" w:firstRow="0" w:lastRow="0" w:firstColumn="1" w:lastColumn="0" w:oddVBand="0" w:evenVBand="0" w:oddHBand="0" w:evenHBand="0" w:firstRowFirstColumn="0" w:firstRowLastColumn="0" w:lastRowFirstColumn="0" w:lastRowLastColumn="0"/>
            <w:tcW w:w="1898" w:type="dxa"/>
          </w:tcPr>
          <w:p w:rsidRPr="006D229A" w:rsidR="001448FD" w:rsidP="003F37A9" w:rsidRDefault="001448FD" w14:paraId="7FC581D9" w14:textId="77777777">
            <w:pPr>
              <w:rPr>
                <w:rFonts w:asciiTheme="minorHAnsi" w:hAnsiTheme="minorHAnsi"/>
              </w:rPr>
            </w:pPr>
            <w:r w:rsidRPr="006D229A">
              <w:rPr>
                <w:rFonts w:asciiTheme="minorHAnsi" w:hAnsiTheme="minorHAnsi"/>
              </w:rPr>
              <w:t>Selection Criteria Impacted</w:t>
            </w:r>
          </w:p>
        </w:tc>
        <w:tc>
          <w:tcPr>
            <w:tcW w:w="7962" w:type="dxa"/>
          </w:tcPr>
          <w:p w:rsidRPr="006D229A" w:rsidR="001448FD" w:rsidP="003F37A9" w:rsidRDefault="001448FD" w14:paraId="571360D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 xml:space="preserve">2.4.7 Focus Visible, 1.4.1: Use of Colour </w:t>
            </w:r>
            <w:hyperlink w:history="1" r:id="rId8">
              <w:r w:rsidRPr="006D229A">
                <w:rPr>
                  <w:rStyle w:val="Hyperlink"/>
                  <w:rFonts w:asciiTheme="minorHAnsi" w:hAnsiTheme="minorHAnsi"/>
                  <w:color w:val="auto"/>
                </w:rPr>
                <w:t>https://www.w3.org/WAI/WCAG21/Techniques/css/C15</w:t>
              </w:r>
            </w:hyperlink>
          </w:p>
        </w:tc>
      </w:tr>
    </w:tbl>
    <w:p w:rsidRPr="006D229A" w:rsidR="001448FD" w:rsidP="003F37A9" w:rsidRDefault="001448FD" w14:paraId="70C06C8F" w14:textId="77777777"/>
    <w:tbl>
      <w:tblPr>
        <w:tblStyle w:val="ListTable3-Accent1"/>
        <w:tblW w:w="0" w:type="auto"/>
        <w:tblLook w:val="04A0" w:firstRow="1" w:lastRow="0" w:firstColumn="1" w:lastColumn="0" w:noHBand="0" w:noVBand="1"/>
      </w:tblPr>
      <w:tblGrid>
        <w:gridCol w:w="2601"/>
        <w:gridCol w:w="7254"/>
      </w:tblGrid>
      <w:tr w:rsidRPr="006D229A" w:rsidR="006D229A" w:rsidTr="00EF256C" w14:paraId="0B5492B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855" w:type="dxa"/>
            <w:gridSpan w:val="2"/>
          </w:tcPr>
          <w:p w:rsidRPr="006D229A" w:rsidR="00BE64ED" w:rsidP="00BE64ED" w:rsidRDefault="00BE64ED" w14:paraId="31119A2E" w14:textId="77777777">
            <w:pPr>
              <w:rPr>
                <w:rFonts w:asciiTheme="minorHAnsi" w:hAnsiTheme="minorHAnsi"/>
                <w:color w:val="auto"/>
              </w:rPr>
            </w:pPr>
            <w:r w:rsidRPr="006D229A">
              <w:rPr>
                <w:rFonts w:asciiTheme="minorHAnsi" w:hAnsiTheme="minorHAnsi"/>
                <w:color w:val="auto"/>
                <w:sz w:val="24"/>
                <w:szCs w:val="24"/>
              </w:rPr>
              <w:t>Theme 2 – Navigation</w:t>
            </w:r>
          </w:p>
        </w:tc>
      </w:tr>
      <w:tr w:rsidRPr="006D229A" w:rsidR="006D229A" w:rsidTr="0062691C" w14:paraId="359257F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tcPr>
          <w:p w:rsidRPr="006D229A" w:rsidR="00BE64ED" w:rsidP="00BE64ED" w:rsidRDefault="00BE64ED" w14:paraId="468DD65E" w14:textId="77777777">
            <w:pPr>
              <w:rPr>
                <w:rFonts w:asciiTheme="minorHAnsi" w:hAnsiTheme="minorHAnsi"/>
              </w:rPr>
            </w:pPr>
            <w:r w:rsidRPr="006D229A">
              <w:rPr>
                <w:rFonts w:asciiTheme="minorHAnsi" w:hAnsiTheme="minorHAnsi"/>
              </w:rPr>
              <w:t>Severity</w:t>
            </w:r>
          </w:p>
        </w:tc>
        <w:tc>
          <w:tcPr>
            <w:tcW w:w="7254" w:type="dxa"/>
          </w:tcPr>
          <w:p w:rsidRPr="006D229A" w:rsidR="00BE64ED" w:rsidP="00BE64ED" w:rsidRDefault="00BE64ED" w14:paraId="4A65A419"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 xml:space="preserve">Medium </w:t>
            </w:r>
          </w:p>
          <w:p w:rsidRPr="006D229A" w:rsidR="00BE64ED" w:rsidP="00BE64ED" w:rsidRDefault="00BE64ED" w14:paraId="385525A7"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Best practice reminder – skip to main content is crucial to the usability of the app for screen reader users, Information displayed on each page such as headers and footers will be read repeatedly by the screen reader. This can be a frustrating experience for the user, and many may abandon the task.</w:t>
            </w:r>
          </w:p>
        </w:tc>
      </w:tr>
      <w:tr w:rsidRPr="006D229A" w:rsidR="006D229A" w:rsidTr="0062691C" w14:paraId="137F5495" w14:textId="77777777">
        <w:tc>
          <w:tcPr>
            <w:cnfStyle w:val="001000000000" w:firstRow="0" w:lastRow="0" w:firstColumn="1" w:lastColumn="0" w:oddVBand="0" w:evenVBand="0" w:oddHBand="0" w:evenHBand="0" w:firstRowFirstColumn="0" w:firstRowLastColumn="0" w:lastRowFirstColumn="0" w:lastRowLastColumn="0"/>
            <w:tcW w:w="2601" w:type="dxa"/>
          </w:tcPr>
          <w:p w:rsidRPr="006D229A" w:rsidR="00BE64ED" w:rsidP="00BE64ED" w:rsidRDefault="00BE64ED" w14:paraId="4A44EEC7" w14:textId="77777777">
            <w:pPr>
              <w:rPr>
                <w:rFonts w:asciiTheme="minorHAnsi" w:hAnsiTheme="minorHAnsi"/>
              </w:rPr>
            </w:pPr>
            <w:r w:rsidRPr="006D229A">
              <w:rPr>
                <w:rFonts w:asciiTheme="minorHAnsi" w:hAnsiTheme="minorHAnsi"/>
              </w:rPr>
              <w:t>Flows, Screens, and devices effected</w:t>
            </w:r>
          </w:p>
        </w:tc>
        <w:tc>
          <w:tcPr>
            <w:tcW w:w="7254" w:type="dxa"/>
          </w:tcPr>
          <w:p w:rsidRPr="006D229A" w:rsidR="00BE64ED" w:rsidP="00BE64ED" w:rsidRDefault="00BE64ED" w14:paraId="5189188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All flows, all screens, all devices</w:t>
            </w:r>
          </w:p>
        </w:tc>
      </w:tr>
      <w:tr w:rsidRPr="006D229A" w:rsidR="006D229A" w:rsidTr="0062691C" w14:paraId="12D92B3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tcPr>
          <w:p w:rsidRPr="006D229A" w:rsidR="00BE64ED" w:rsidP="00BE64ED" w:rsidRDefault="00BE64ED" w14:paraId="16DC8191" w14:textId="77777777">
            <w:pPr>
              <w:rPr>
                <w:rFonts w:asciiTheme="minorHAnsi" w:hAnsiTheme="minorHAnsi"/>
              </w:rPr>
            </w:pPr>
            <w:r w:rsidRPr="006D229A">
              <w:rPr>
                <w:rFonts w:asciiTheme="minorHAnsi" w:hAnsiTheme="minorHAnsi"/>
              </w:rPr>
              <w:t>Issue Description</w:t>
            </w:r>
          </w:p>
        </w:tc>
        <w:tc>
          <w:tcPr>
            <w:tcW w:w="7254" w:type="dxa"/>
          </w:tcPr>
          <w:p w:rsidRPr="006D229A" w:rsidR="00BE64ED" w:rsidP="00BE64ED" w:rsidRDefault="00BE64ED" w14:paraId="24635C50"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Some pages do not allow people who navigate sequentially through content direct access to the primary content of the Web page.</w:t>
            </w:r>
          </w:p>
        </w:tc>
      </w:tr>
      <w:tr w:rsidRPr="006D229A" w:rsidR="006D229A" w:rsidTr="0062691C" w14:paraId="56E20209" w14:textId="77777777">
        <w:tc>
          <w:tcPr>
            <w:cnfStyle w:val="001000000000" w:firstRow="0" w:lastRow="0" w:firstColumn="1" w:lastColumn="0" w:oddVBand="0" w:evenVBand="0" w:oddHBand="0" w:evenHBand="0" w:firstRowFirstColumn="0" w:firstRowLastColumn="0" w:lastRowFirstColumn="0" w:lastRowLastColumn="0"/>
            <w:tcW w:w="2601" w:type="dxa"/>
          </w:tcPr>
          <w:p w:rsidRPr="006D229A" w:rsidR="00BE64ED" w:rsidP="00BE64ED" w:rsidRDefault="00BE64ED" w14:paraId="305C1275" w14:textId="77777777">
            <w:pPr>
              <w:rPr>
                <w:rFonts w:asciiTheme="minorHAnsi" w:hAnsiTheme="minorHAnsi"/>
              </w:rPr>
            </w:pPr>
            <w:r w:rsidRPr="006D229A">
              <w:rPr>
                <w:rFonts w:asciiTheme="minorHAnsi" w:hAnsiTheme="minorHAnsi"/>
              </w:rPr>
              <w:t>Screen Capture</w:t>
            </w:r>
          </w:p>
        </w:tc>
        <w:tc>
          <w:tcPr>
            <w:tcW w:w="7254" w:type="dxa"/>
          </w:tcPr>
          <w:p w:rsidRPr="006D229A" w:rsidR="00BE64ED" w:rsidP="00BE64ED" w:rsidRDefault="00BE64ED" w14:paraId="573CE9C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NA</w:t>
            </w:r>
          </w:p>
        </w:tc>
      </w:tr>
      <w:tr w:rsidRPr="006D229A" w:rsidR="006D229A" w:rsidTr="0062691C" w14:paraId="71CC0FF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tcPr>
          <w:p w:rsidRPr="006D229A" w:rsidR="00BE64ED" w:rsidP="00BE64ED" w:rsidRDefault="00BE64ED" w14:paraId="377505B0" w14:textId="77777777">
            <w:pPr>
              <w:rPr>
                <w:rFonts w:asciiTheme="minorHAnsi" w:hAnsiTheme="minorHAnsi"/>
              </w:rPr>
            </w:pPr>
            <w:r w:rsidRPr="006D229A">
              <w:rPr>
                <w:rFonts w:asciiTheme="minorHAnsi" w:hAnsiTheme="minorHAnsi"/>
              </w:rPr>
              <w:t>Remediation Advice</w:t>
            </w:r>
          </w:p>
        </w:tc>
        <w:tc>
          <w:tcPr>
            <w:tcW w:w="7254" w:type="dxa"/>
          </w:tcPr>
          <w:p w:rsidRPr="006D229A" w:rsidR="00BE64ED" w:rsidP="00BE64ED" w:rsidRDefault="00BE64ED" w14:paraId="1F67F26D"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 xml:space="preserve">Ensure all pages have “skip to main content </w:t>
            </w:r>
            <w:proofErr w:type="gramStart"/>
            <w:r w:rsidRPr="006D229A">
              <w:rPr>
                <w:rFonts w:asciiTheme="minorHAnsi" w:hAnsiTheme="minorHAnsi"/>
              </w:rPr>
              <w:t>“ function</w:t>
            </w:r>
            <w:proofErr w:type="gramEnd"/>
            <w:r w:rsidRPr="006D229A">
              <w:rPr>
                <w:rFonts w:asciiTheme="minorHAnsi" w:hAnsiTheme="minorHAnsi"/>
              </w:rPr>
              <w:t xml:space="preserve"> to allow screen reader and keyboard users to directly jump to the main content </w:t>
            </w:r>
          </w:p>
        </w:tc>
      </w:tr>
      <w:tr w:rsidRPr="006D229A" w:rsidR="006D229A" w:rsidTr="0062691C" w14:paraId="1AC9C13E" w14:textId="77777777">
        <w:tc>
          <w:tcPr>
            <w:cnfStyle w:val="001000000000" w:firstRow="0" w:lastRow="0" w:firstColumn="1" w:lastColumn="0" w:oddVBand="0" w:evenVBand="0" w:oddHBand="0" w:evenHBand="0" w:firstRowFirstColumn="0" w:firstRowLastColumn="0" w:lastRowFirstColumn="0" w:lastRowLastColumn="0"/>
            <w:tcW w:w="2601" w:type="dxa"/>
          </w:tcPr>
          <w:p w:rsidRPr="006D229A" w:rsidR="00BE64ED" w:rsidP="00BE64ED" w:rsidRDefault="00BE64ED" w14:paraId="3C8E7FA8" w14:textId="77777777">
            <w:pPr>
              <w:rPr>
                <w:rFonts w:asciiTheme="minorHAnsi" w:hAnsiTheme="minorHAnsi"/>
              </w:rPr>
            </w:pPr>
            <w:r w:rsidRPr="006D229A">
              <w:rPr>
                <w:rFonts w:asciiTheme="minorHAnsi" w:hAnsiTheme="minorHAnsi"/>
              </w:rPr>
              <w:t>Selection Criteria Impacted</w:t>
            </w:r>
          </w:p>
        </w:tc>
        <w:tc>
          <w:tcPr>
            <w:tcW w:w="7254" w:type="dxa"/>
          </w:tcPr>
          <w:p w:rsidRPr="006D229A" w:rsidR="00BE64ED" w:rsidP="00BE64ED" w:rsidRDefault="00BE64ED" w14:paraId="41C4179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2.4.1: Bypass Blocks</w:t>
            </w:r>
            <w:r w:rsidRPr="006D229A">
              <w:rPr>
                <w:rFonts w:asciiTheme="minorHAnsi" w:hAnsiTheme="minorHAnsi"/>
              </w:rPr>
              <w:br/>
            </w:r>
            <w:hyperlink w:history="1" r:id="rId9">
              <w:r w:rsidRPr="006D229A">
                <w:rPr>
                  <w:rStyle w:val="Hyperlink"/>
                  <w:rFonts w:asciiTheme="minorHAnsi" w:hAnsiTheme="minorHAnsi"/>
                  <w:color w:val="auto"/>
                </w:rPr>
                <w:t>https://www.w3.org/WAI/WCAG21/Understanding/bypass-blocks.html</w:t>
              </w:r>
            </w:hyperlink>
          </w:p>
        </w:tc>
      </w:tr>
    </w:tbl>
    <w:p w:rsidRPr="006D229A" w:rsidR="00BE64ED" w:rsidP="00BE64ED" w:rsidRDefault="00BE64ED" w14:paraId="490722A4" w14:textId="77777777"/>
    <w:p w:rsidR="00BE64ED" w:rsidP="00BE64ED" w:rsidRDefault="00BE64ED" w14:paraId="31C8D37B" w14:textId="42BE6C50"/>
    <w:p w:rsidRPr="006D229A" w:rsidR="009E6E9F" w:rsidP="00BE64ED" w:rsidRDefault="009E6E9F" w14:paraId="1E4E0305" w14:textId="77777777"/>
    <w:tbl>
      <w:tblPr>
        <w:tblStyle w:val="ListTable3-Accent1"/>
        <w:tblW w:w="0" w:type="auto"/>
        <w:tblLook w:val="04A0" w:firstRow="1" w:lastRow="0" w:firstColumn="1" w:lastColumn="0" w:noHBand="0" w:noVBand="1"/>
      </w:tblPr>
      <w:tblGrid>
        <w:gridCol w:w="2608"/>
        <w:gridCol w:w="7247"/>
      </w:tblGrid>
      <w:tr w:rsidRPr="006D229A" w:rsidR="006D229A" w:rsidTr="00EF256C" w14:paraId="61D0B748"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855" w:type="dxa"/>
            <w:gridSpan w:val="2"/>
          </w:tcPr>
          <w:p w:rsidRPr="006D229A" w:rsidR="00BE64ED" w:rsidP="00BE64ED" w:rsidRDefault="00BE64ED" w14:paraId="0065F0BA" w14:textId="77777777">
            <w:pPr>
              <w:rPr>
                <w:rFonts w:asciiTheme="minorHAnsi" w:hAnsiTheme="minorHAnsi"/>
                <w:color w:val="auto"/>
              </w:rPr>
            </w:pPr>
            <w:r w:rsidRPr="006D229A">
              <w:rPr>
                <w:rFonts w:asciiTheme="minorHAnsi" w:hAnsiTheme="minorHAnsi"/>
                <w:color w:val="auto"/>
                <w:sz w:val="24"/>
                <w:szCs w:val="24"/>
              </w:rPr>
              <w:lastRenderedPageBreak/>
              <w:t>Theme 3 – Contrast between text and background</w:t>
            </w:r>
          </w:p>
        </w:tc>
      </w:tr>
      <w:tr w:rsidRPr="006D229A" w:rsidR="006D229A" w:rsidTr="0062691C" w14:paraId="25E8B5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8" w:type="dxa"/>
          </w:tcPr>
          <w:p w:rsidRPr="006D229A" w:rsidR="00BE64ED" w:rsidP="00BE64ED" w:rsidRDefault="00BE64ED" w14:paraId="1F142957" w14:textId="77777777">
            <w:pPr>
              <w:rPr>
                <w:rFonts w:asciiTheme="minorHAnsi" w:hAnsiTheme="minorHAnsi"/>
              </w:rPr>
            </w:pPr>
            <w:r w:rsidRPr="006D229A">
              <w:rPr>
                <w:rFonts w:asciiTheme="minorHAnsi" w:hAnsiTheme="minorHAnsi"/>
              </w:rPr>
              <w:t>Severity</w:t>
            </w:r>
          </w:p>
        </w:tc>
        <w:tc>
          <w:tcPr>
            <w:tcW w:w="7247" w:type="dxa"/>
          </w:tcPr>
          <w:p w:rsidRPr="006D229A" w:rsidR="00BE64ED" w:rsidP="00BE64ED" w:rsidRDefault="00BE64ED" w14:paraId="6382AAD9"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Medium</w:t>
            </w:r>
          </w:p>
          <w:p w:rsidRPr="006D229A" w:rsidR="00BE64ED" w:rsidP="00BE64ED" w:rsidRDefault="00BE64ED" w14:paraId="26E1222C"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 xml:space="preserve">Best practice reminder – ensure colour contrast is front of mind for developers and designers. If the contrasts ratio is not sufficient it will cause issues for users who are colour bind or have low vision.   </w:t>
            </w:r>
          </w:p>
        </w:tc>
      </w:tr>
      <w:tr w:rsidRPr="006D229A" w:rsidR="006D229A" w:rsidTr="0062691C" w14:paraId="02560281" w14:textId="77777777">
        <w:tc>
          <w:tcPr>
            <w:cnfStyle w:val="001000000000" w:firstRow="0" w:lastRow="0" w:firstColumn="1" w:lastColumn="0" w:oddVBand="0" w:evenVBand="0" w:oddHBand="0" w:evenHBand="0" w:firstRowFirstColumn="0" w:firstRowLastColumn="0" w:lastRowFirstColumn="0" w:lastRowLastColumn="0"/>
            <w:tcW w:w="2608" w:type="dxa"/>
          </w:tcPr>
          <w:p w:rsidRPr="006D229A" w:rsidR="00BE64ED" w:rsidP="00BE64ED" w:rsidRDefault="00BE64ED" w14:paraId="6B8A75BB" w14:textId="77777777">
            <w:pPr>
              <w:rPr>
                <w:rFonts w:asciiTheme="minorHAnsi" w:hAnsiTheme="minorHAnsi"/>
              </w:rPr>
            </w:pPr>
            <w:r w:rsidRPr="006D229A">
              <w:rPr>
                <w:rFonts w:asciiTheme="minorHAnsi" w:hAnsiTheme="minorHAnsi"/>
              </w:rPr>
              <w:t>Flows, Screens, and devices effected</w:t>
            </w:r>
          </w:p>
        </w:tc>
        <w:tc>
          <w:tcPr>
            <w:tcW w:w="7247" w:type="dxa"/>
          </w:tcPr>
          <w:p w:rsidRPr="006D229A" w:rsidR="00BE64ED" w:rsidP="00BE64ED" w:rsidRDefault="00BE64ED" w14:paraId="39D3830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All flows, all screens, all devices</w:t>
            </w:r>
          </w:p>
        </w:tc>
      </w:tr>
      <w:tr w:rsidRPr="006D229A" w:rsidR="006D229A" w:rsidTr="0062691C" w14:paraId="42B688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8" w:type="dxa"/>
          </w:tcPr>
          <w:p w:rsidRPr="006D229A" w:rsidR="00BE64ED" w:rsidP="00BE64ED" w:rsidRDefault="00BE64ED" w14:paraId="38AABE5E" w14:textId="77777777">
            <w:pPr>
              <w:rPr>
                <w:rFonts w:asciiTheme="minorHAnsi" w:hAnsiTheme="minorHAnsi"/>
              </w:rPr>
            </w:pPr>
            <w:r w:rsidRPr="006D229A">
              <w:rPr>
                <w:rFonts w:asciiTheme="minorHAnsi" w:hAnsiTheme="minorHAnsi"/>
              </w:rPr>
              <w:t>Issue Description</w:t>
            </w:r>
          </w:p>
        </w:tc>
        <w:tc>
          <w:tcPr>
            <w:tcW w:w="7247" w:type="dxa"/>
          </w:tcPr>
          <w:p w:rsidRPr="006D229A" w:rsidR="00BE64ED" w:rsidP="00BE64ED" w:rsidRDefault="00BE64ED" w14:paraId="0955FC23"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The colour of the visible focus indicator is not clear</w:t>
            </w:r>
          </w:p>
        </w:tc>
      </w:tr>
      <w:tr w:rsidRPr="006D229A" w:rsidR="006D229A" w:rsidTr="0062691C" w14:paraId="5FA417D4" w14:textId="77777777">
        <w:tc>
          <w:tcPr>
            <w:cnfStyle w:val="001000000000" w:firstRow="0" w:lastRow="0" w:firstColumn="1" w:lastColumn="0" w:oddVBand="0" w:evenVBand="0" w:oddHBand="0" w:evenHBand="0" w:firstRowFirstColumn="0" w:firstRowLastColumn="0" w:lastRowFirstColumn="0" w:lastRowLastColumn="0"/>
            <w:tcW w:w="2608" w:type="dxa"/>
          </w:tcPr>
          <w:p w:rsidRPr="006D229A" w:rsidR="00BE64ED" w:rsidP="00BE64ED" w:rsidRDefault="00BE64ED" w14:paraId="6FB1DCD9" w14:textId="77777777">
            <w:pPr>
              <w:rPr>
                <w:rFonts w:asciiTheme="minorHAnsi" w:hAnsiTheme="minorHAnsi"/>
              </w:rPr>
            </w:pPr>
            <w:r w:rsidRPr="006D229A">
              <w:rPr>
                <w:rFonts w:asciiTheme="minorHAnsi" w:hAnsiTheme="minorHAnsi"/>
              </w:rPr>
              <w:t>Screen Capture</w:t>
            </w:r>
          </w:p>
        </w:tc>
        <w:tc>
          <w:tcPr>
            <w:tcW w:w="7247" w:type="dxa"/>
          </w:tcPr>
          <w:p w:rsidRPr="006D229A" w:rsidR="00BE64ED" w:rsidP="00BE64ED" w:rsidRDefault="00BE64ED" w14:paraId="15725E9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NA</w:t>
            </w:r>
          </w:p>
        </w:tc>
      </w:tr>
      <w:tr w:rsidRPr="006D229A" w:rsidR="006D229A" w:rsidTr="0062691C" w14:paraId="509A917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8" w:type="dxa"/>
          </w:tcPr>
          <w:p w:rsidRPr="006D229A" w:rsidR="00BE64ED" w:rsidP="00BE64ED" w:rsidRDefault="00BE64ED" w14:paraId="353310B5" w14:textId="77777777">
            <w:pPr>
              <w:rPr>
                <w:rFonts w:asciiTheme="minorHAnsi" w:hAnsiTheme="minorHAnsi"/>
              </w:rPr>
            </w:pPr>
            <w:r w:rsidRPr="006D229A">
              <w:rPr>
                <w:rFonts w:asciiTheme="minorHAnsi" w:hAnsiTheme="minorHAnsi"/>
              </w:rPr>
              <w:t>Remediation Advice</w:t>
            </w:r>
          </w:p>
        </w:tc>
        <w:tc>
          <w:tcPr>
            <w:tcW w:w="7247" w:type="dxa"/>
          </w:tcPr>
          <w:p w:rsidRPr="006D229A" w:rsidR="00BE64ED" w:rsidP="00BE64ED" w:rsidRDefault="00BE64ED" w14:paraId="0314D0CA"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Ensure that every focusable element receives a visible focus indicator. Ensure that the indicator is WCAG compliant</w:t>
            </w:r>
          </w:p>
        </w:tc>
      </w:tr>
      <w:tr w:rsidRPr="006D229A" w:rsidR="006D229A" w:rsidTr="0062691C" w14:paraId="402C4783" w14:textId="77777777">
        <w:tc>
          <w:tcPr>
            <w:cnfStyle w:val="001000000000" w:firstRow="0" w:lastRow="0" w:firstColumn="1" w:lastColumn="0" w:oddVBand="0" w:evenVBand="0" w:oddHBand="0" w:evenHBand="0" w:firstRowFirstColumn="0" w:firstRowLastColumn="0" w:lastRowFirstColumn="0" w:lastRowLastColumn="0"/>
            <w:tcW w:w="2608" w:type="dxa"/>
          </w:tcPr>
          <w:p w:rsidRPr="006D229A" w:rsidR="00BE64ED" w:rsidP="00BE64ED" w:rsidRDefault="00BE64ED" w14:paraId="54CBC2B9" w14:textId="77777777">
            <w:pPr>
              <w:rPr>
                <w:rFonts w:asciiTheme="minorHAnsi" w:hAnsiTheme="minorHAnsi"/>
              </w:rPr>
            </w:pPr>
            <w:r w:rsidRPr="006D229A">
              <w:rPr>
                <w:rFonts w:asciiTheme="minorHAnsi" w:hAnsiTheme="minorHAnsi"/>
              </w:rPr>
              <w:t>Selection Criteria Impacted</w:t>
            </w:r>
          </w:p>
        </w:tc>
        <w:tc>
          <w:tcPr>
            <w:tcW w:w="7247" w:type="dxa"/>
          </w:tcPr>
          <w:p w:rsidRPr="006D229A" w:rsidR="00BE64ED" w:rsidP="00BE64ED" w:rsidRDefault="00BE64ED" w14:paraId="27FA160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 xml:space="preserve">2.4.7 Focus Visible, 1.4.1: Use of Colour </w:t>
            </w:r>
            <w:hyperlink w:history="1" r:id="rId10">
              <w:r w:rsidRPr="006D229A">
                <w:rPr>
                  <w:rStyle w:val="Hyperlink"/>
                  <w:rFonts w:asciiTheme="minorHAnsi" w:hAnsiTheme="minorHAnsi"/>
                  <w:color w:val="auto"/>
                </w:rPr>
                <w:t>https://www.w3.org/WAI/WCAG21/Techniques/css/C15</w:t>
              </w:r>
            </w:hyperlink>
          </w:p>
        </w:tc>
      </w:tr>
    </w:tbl>
    <w:p w:rsidRPr="006D229A" w:rsidR="00BE64ED" w:rsidP="005E2DAC" w:rsidRDefault="00BE64ED" w14:paraId="7DC04A2C" w14:textId="77777777"/>
    <w:tbl>
      <w:tblPr>
        <w:tblStyle w:val="ListTable3-Accent1"/>
        <w:tblW w:w="0" w:type="auto"/>
        <w:tblLook w:val="04A0" w:firstRow="1" w:lastRow="0" w:firstColumn="1" w:lastColumn="0" w:noHBand="0" w:noVBand="1"/>
      </w:tblPr>
      <w:tblGrid>
        <w:gridCol w:w="2606"/>
        <w:gridCol w:w="2321"/>
        <w:gridCol w:w="4928"/>
      </w:tblGrid>
      <w:tr w:rsidRPr="006D229A" w:rsidR="006D229A" w:rsidTr="00EF256C" w14:paraId="0A5A5B8D"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27" w:type="dxa"/>
            <w:gridSpan w:val="2"/>
          </w:tcPr>
          <w:p w:rsidRPr="006D229A" w:rsidR="0062691C" w:rsidP="005E2DAC" w:rsidRDefault="0062691C" w14:paraId="135E0536" w14:textId="77777777">
            <w:pPr>
              <w:rPr>
                <w:sz w:val="24"/>
                <w:szCs w:val="24"/>
              </w:rPr>
            </w:pPr>
            <w:r w:rsidRPr="006D229A">
              <w:rPr>
                <w:rFonts w:asciiTheme="minorHAnsi" w:hAnsiTheme="minorHAnsi"/>
                <w:color w:val="auto"/>
                <w:sz w:val="24"/>
                <w:szCs w:val="24"/>
              </w:rPr>
              <w:t>Theme 4 – Page titles</w:t>
            </w:r>
          </w:p>
        </w:tc>
        <w:tc>
          <w:tcPr>
            <w:tcW w:w="4928" w:type="dxa"/>
          </w:tcPr>
          <w:p w:rsidRPr="006D229A" w:rsidR="005E2DAC" w:rsidP="005E2DAC" w:rsidRDefault="005E2DAC" w14:paraId="038E6F8E" w14:textId="676B1DAB">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4"/>
                <w:szCs w:val="24"/>
              </w:rPr>
            </w:pPr>
          </w:p>
        </w:tc>
      </w:tr>
      <w:tr w:rsidRPr="006D229A" w:rsidR="006D229A" w:rsidTr="0062691C" w14:paraId="5C8DE8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6" w:type="dxa"/>
          </w:tcPr>
          <w:p w:rsidRPr="006D229A" w:rsidR="005E2DAC" w:rsidP="005E2DAC" w:rsidRDefault="005E2DAC" w14:paraId="4776F635" w14:textId="77777777">
            <w:pPr>
              <w:rPr>
                <w:rFonts w:asciiTheme="minorHAnsi" w:hAnsiTheme="minorHAnsi"/>
              </w:rPr>
            </w:pPr>
            <w:r w:rsidRPr="006D229A">
              <w:rPr>
                <w:rFonts w:asciiTheme="minorHAnsi" w:hAnsiTheme="minorHAnsi"/>
              </w:rPr>
              <w:t>Severity</w:t>
            </w:r>
          </w:p>
        </w:tc>
        <w:tc>
          <w:tcPr>
            <w:tcW w:w="7249" w:type="dxa"/>
            <w:gridSpan w:val="2"/>
          </w:tcPr>
          <w:p w:rsidRPr="006D229A" w:rsidR="005E2DAC" w:rsidP="005E2DAC" w:rsidRDefault="005E2DAC" w14:paraId="39D01BC2"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 xml:space="preserve">High (due to number of potential occurrences) </w:t>
            </w:r>
          </w:p>
          <w:p w:rsidRPr="006D229A" w:rsidR="005E2DAC" w:rsidP="005E2DAC" w:rsidRDefault="005E2DAC" w14:paraId="7FC5A668"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Page titles are the first thing screen readers announce to the users. If missing the users cannot navigate properly and they may miss the context of the page. Missing titles directly impacts the WCAG guidelines.</w:t>
            </w:r>
          </w:p>
        </w:tc>
      </w:tr>
      <w:tr w:rsidRPr="006D229A" w:rsidR="006D229A" w:rsidTr="0062691C" w14:paraId="5EBB84C4" w14:textId="77777777">
        <w:tc>
          <w:tcPr>
            <w:cnfStyle w:val="001000000000" w:firstRow="0" w:lastRow="0" w:firstColumn="1" w:lastColumn="0" w:oddVBand="0" w:evenVBand="0" w:oddHBand="0" w:evenHBand="0" w:firstRowFirstColumn="0" w:firstRowLastColumn="0" w:lastRowFirstColumn="0" w:lastRowLastColumn="0"/>
            <w:tcW w:w="2606" w:type="dxa"/>
          </w:tcPr>
          <w:p w:rsidRPr="006D229A" w:rsidR="005E2DAC" w:rsidP="005E2DAC" w:rsidRDefault="005E2DAC" w14:paraId="4B11050D" w14:textId="77777777">
            <w:pPr>
              <w:rPr>
                <w:rFonts w:asciiTheme="minorHAnsi" w:hAnsiTheme="minorHAnsi"/>
              </w:rPr>
            </w:pPr>
            <w:r w:rsidRPr="006D229A">
              <w:rPr>
                <w:rFonts w:asciiTheme="minorHAnsi" w:hAnsiTheme="minorHAnsi"/>
              </w:rPr>
              <w:t>Flows, Screens, and devices effected</w:t>
            </w:r>
          </w:p>
        </w:tc>
        <w:tc>
          <w:tcPr>
            <w:tcW w:w="7249" w:type="dxa"/>
            <w:gridSpan w:val="2"/>
          </w:tcPr>
          <w:p w:rsidRPr="006D229A" w:rsidR="005E2DAC" w:rsidP="005E2DAC" w:rsidRDefault="005E2DAC" w14:paraId="66FBA37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All flows, all screens, all devices</w:t>
            </w:r>
          </w:p>
        </w:tc>
      </w:tr>
      <w:tr w:rsidRPr="006D229A" w:rsidR="006D229A" w:rsidTr="0062691C" w14:paraId="75C7576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6" w:type="dxa"/>
          </w:tcPr>
          <w:p w:rsidRPr="006D229A" w:rsidR="005E2DAC" w:rsidP="005E2DAC" w:rsidRDefault="005E2DAC" w14:paraId="5AE1404C" w14:textId="77777777">
            <w:pPr>
              <w:rPr>
                <w:rFonts w:asciiTheme="minorHAnsi" w:hAnsiTheme="minorHAnsi"/>
              </w:rPr>
            </w:pPr>
            <w:r w:rsidRPr="006D229A">
              <w:rPr>
                <w:rFonts w:asciiTheme="minorHAnsi" w:hAnsiTheme="minorHAnsi"/>
              </w:rPr>
              <w:t>Issue Description</w:t>
            </w:r>
          </w:p>
        </w:tc>
        <w:tc>
          <w:tcPr>
            <w:tcW w:w="7249" w:type="dxa"/>
            <w:gridSpan w:val="2"/>
          </w:tcPr>
          <w:p w:rsidRPr="006D229A" w:rsidR="005E2DAC" w:rsidP="005E2DAC" w:rsidRDefault="005E2DAC" w14:paraId="0E6C8F6F"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Current issue – it is unclear if each page has a descriptive title</w:t>
            </w:r>
          </w:p>
        </w:tc>
      </w:tr>
      <w:tr w:rsidRPr="006D229A" w:rsidR="006D229A" w:rsidTr="0062691C" w14:paraId="740CC716" w14:textId="77777777">
        <w:tc>
          <w:tcPr>
            <w:cnfStyle w:val="001000000000" w:firstRow="0" w:lastRow="0" w:firstColumn="1" w:lastColumn="0" w:oddVBand="0" w:evenVBand="0" w:oddHBand="0" w:evenHBand="0" w:firstRowFirstColumn="0" w:firstRowLastColumn="0" w:lastRowFirstColumn="0" w:lastRowLastColumn="0"/>
            <w:tcW w:w="2606" w:type="dxa"/>
          </w:tcPr>
          <w:p w:rsidRPr="006D229A" w:rsidR="005E2DAC" w:rsidP="005E2DAC" w:rsidRDefault="005E2DAC" w14:paraId="7B7138EC" w14:textId="77777777">
            <w:pPr>
              <w:rPr>
                <w:rFonts w:asciiTheme="minorHAnsi" w:hAnsiTheme="minorHAnsi"/>
              </w:rPr>
            </w:pPr>
            <w:r w:rsidRPr="006D229A">
              <w:rPr>
                <w:rFonts w:asciiTheme="minorHAnsi" w:hAnsiTheme="minorHAnsi"/>
              </w:rPr>
              <w:t>Screen Capture</w:t>
            </w:r>
          </w:p>
        </w:tc>
        <w:tc>
          <w:tcPr>
            <w:tcW w:w="7249" w:type="dxa"/>
            <w:gridSpan w:val="2"/>
          </w:tcPr>
          <w:p w:rsidRPr="006D229A" w:rsidR="005E2DAC" w:rsidP="005E2DAC" w:rsidRDefault="005E2DAC" w14:paraId="41A1B79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NA</w:t>
            </w:r>
          </w:p>
        </w:tc>
      </w:tr>
      <w:tr w:rsidRPr="006D229A" w:rsidR="006D229A" w:rsidTr="0062691C" w14:paraId="10AC39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6" w:type="dxa"/>
          </w:tcPr>
          <w:p w:rsidRPr="006D229A" w:rsidR="005E2DAC" w:rsidP="005E2DAC" w:rsidRDefault="005E2DAC" w14:paraId="293E8FC7" w14:textId="77777777">
            <w:pPr>
              <w:rPr>
                <w:rFonts w:asciiTheme="minorHAnsi" w:hAnsiTheme="minorHAnsi"/>
              </w:rPr>
            </w:pPr>
            <w:r w:rsidRPr="006D229A">
              <w:rPr>
                <w:rFonts w:asciiTheme="minorHAnsi" w:hAnsiTheme="minorHAnsi"/>
              </w:rPr>
              <w:t>Remediation Advice</w:t>
            </w:r>
          </w:p>
        </w:tc>
        <w:tc>
          <w:tcPr>
            <w:tcW w:w="7249" w:type="dxa"/>
            <w:gridSpan w:val="2"/>
          </w:tcPr>
          <w:p w:rsidRPr="006D229A" w:rsidR="005E2DAC" w:rsidP="005E2DAC" w:rsidRDefault="005E2DAC" w14:paraId="601E97A3"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Ensure each page is appropriately titled and that screen reader announces that title</w:t>
            </w:r>
          </w:p>
        </w:tc>
      </w:tr>
      <w:tr w:rsidRPr="006D229A" w:rsidR="006D229A" w:rsidTr="0062691C" w14:paraId="79C6C68E" w14:textId="77777777">
        <w:tc>
          <w:tcPr>
            <w:cnfStyle w:val="001000000000" w:firstRow="0" w:lastRow="0" w:firstColumn="1" w:lastColumn="0" w:oddVBand="0" w:evenVBand="0" w:oddHBand="0" w:evenHBand="0" w:firstRowFirstColumn="0" w:firstRowLastColumn="0" w:lastRowFirstColumn="0" w:lastRowLastColumn="0"/>
            <w:tcW w:w="2606" w:type="dxa"/>
          </w:tcPr>
          <w:p w:rsidRPr="006D229A" w:rsidR="005E2DAC" w:rsidP="005E2DAC" w:rsidRDefault="005E2DAC" w14:paraId="3A383B81" w14:textId="77777777">
            <w:pPr>
              <w:rPr>
                <w:rFonts w:asciiTheme="minorHAnsi" w:hAnsiTheme="minorHAnsi"/>
              </w:rPr>
            </w:pPr>
            <w:r w:rsidRPr="006D229A">
              <w:rPr>
                <w:rFonts w:asciiTheme="minorHAnsi" w:hAnsiTheme="minorHAnsi"/>
              </w:rPr>
              <w:t>Selection Criteria Impacted</w:t>
            </w:r>
          </w:p>
        </w:tc>
        <w:tc>
          <w:tcPr>
            <w:tcW w:w="7249" w:type="dxa"/>
            <w:gridSpan w:val="2"/>
          </w:tcPr>
          <w:p w:rsidRPr="006D229A" w:rsidR="005E2DAC" w:rsidP="005E2DAC" w:rsidRDefault="005E2DAC" w14:paraId="1A4F92F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2.4.2: Page Titles</w:t>
            </w:r>
            <w:r w:rsidRPr="006D229A">
              <w:rPr>
                <w:rFonts w:asciiTheme="minorHAnsi" w:hAnsiTheme="minorHAnsi"/>
              </w:rPr>
              <w:br/>
            </w:r>
            <w:hyperlink r:id="rId11">
              <w:r w:rsidRPr="006D229A">
                <w:rPr>
                  <w:rStyle w:val="Hyperlink"/>
                  <w:rFonts w:asciiTheme="minorHAnsi" w:hAnsiTheme="minorHAnsi"/>
                  <w:color w:val="auto"/>
                </w:rPr>
                <w:t>https://www.w3.org/WAI/WCAG21/Understanding/page-titled.html</w:t>
              </w:r>
            </w:hyperlink>
          </w:p>
        </w:tc>
      </w:tr>
    </w:tbl>
    <w:p w:rsidRPr="006D229A" w:rsidR="005E2DAC" w:rsidP="005E2DAC" w:rsidRDefault="005E2DAC" w14:paraId="59BC1CD6" w14:textId="77777777"/>
    <w:p w:rsidRPr="006D229A" w:rsidR="005E2DAC" w:rsidRDefault="005E2DAC" w14:paraId="20AB2346" w14:textId="5E25CB79">
      <w:pPr>
        <w:spacing w:after="160" w:line="259" w:lineRule="auto"/>
      </w:pPr>
      <w:r w:rsidRPr="006D229A">
        <w:br w:type="page"/>
      </w:r>
    </w:p>
    <w:tbl>
      <w:tblPr>
        <w:tblStyle w:val="ListTable3-Accent1"/>
        <w:tblW w:w="0" w:type="auto"/>
        <w:tblLook w:val="04A0" w:firstRow="1" w:lastRow="0" w:firstColumn="1" w:lastColumn="0" w:noHBand="0" w:noVBand="1"/>
      </w:tblPr>
      <w:tblGrid>
        <w:gridCol w:w="2595"/>
        <w:gridCol w:w="2332"/>
        <w:gridCol w:w="4928"/>
      </w:tblGrid>
      <w:tr w:rsidRPr="006D229A" w:rsidR="006D229A" w:rsidTr="00EF256C" w14:paraId="00A698C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27" w:type="dxa"/>
            <w:gridSpan w:val="2"/>
          </w:tcPr>
          <w:p w:rsidRPr="006D229A" w:rsidR="0062691C" w:rsidP="005E2DAC" w:rsidRDefault="0062691C" w14:paraId="1B131F39" w14:textId="0494113E">
            <w:pPr>
              <w:rPr>
                <w:sz w:val="24"/>
                <w:szCs w:val="24"/>
              </w:rPr>
            </w:pPr>
            <w:r w:rsidRPr="006D229A">
              <w:rPr>
                <w:rFonts w:asciiTheme="minorHAnsi" w:hAnsiTheme="minorHAnsi"/>
                <w:color w:val="auto"/>
                <w:sz w:val="24"/>
                <w:szCs w:val="24"/>
              </w:rPr>
              <w:lastRenderedPageBreak/>
              <w:t>Theme 5 – Descriptive heading</w:t>
            </w:r>
            <w:r w:rsidR="005B6BE1">
              <w:rPr>
                <w:rFonts w:asciiTheme="minorHAnsi" w:hAnsiTheme="minorHAnsi"/>
                <w:color w:val="auto"/>
                <w:sz w:val="24"/>
                <w:szCs w:val="24"/>
              </w:rPr>
              <w:t>s</w:t>
            </w:r>
          </w:p>
        </w:tc>
        <w:tc>
          <w:tcPr>
            <w:tcW w:w="4928" w:type="dxa"/>
          </w:tcPr>
          <w:p w:rsidRPr="006D229A" w:rsidR="005E2DAC" w:rsidP="005E2DAC" w:rsidRDefault="005E2DAC" w14:paraId="6074ECA0" w14:textId="20669948">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4"/>
                <w:szCs w:val="24"/>
              </w:rPr>
            </w:pPr>
          </w:p>
        </w:tc>
      </w:tr>
      <w:tr w:rsidRPr="006D229A" w:rsidR="006D229A" w:rsidTr="0062691C" w14:paraId="5E78BA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tcPr>
          <w:p w:rsidRPr="006D229A" w:rsidR="005E2DAC" w:rsidP="005E2DAC" w:rsidRDefault="005E2DAC" w14:paraId="1240F925" w14:textId="77777777">
            <w:pPr>
              <w:rPr>
                <w:rFonts w:asciiTheme="minorHAnsi" w:hAnsiTheme="minorHAnsi"/>
              </w:rPr>
            </w:pPr>
            <w:r w:rsidRPr="006D229A">
              <w:rPr>
                <w:rFonts w:asciiTheme="minorHAnsi" w:hAnsiTheme="minorHAnsi"/>
              </w:rPr>
              <w:t>Severity</w:t>
            </w:r>
          </w:p>
        </w:tc>
        <w:tc>
          <w:tcPr>
            <w:tcW w:w="7260" w:type="dxa"/>
            <w:gridSpan w:val="2"/>
          </w:tcPr>
          <w:p w:rsidRPr="006D229A" w:rsidR="005E2DAC" w:rsidP="005E2DAC" w:rsidRDefault="005E2DAC" w14:paraId="61A2BFE8"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 xml:space="preserve">Medium. </w:t>
            </w:r>
          </w:p>
          <w:p w:rsidRPr="006D229A" w:rsidR="005E2DAC" w:rsidP="005E2DAC" w:rsidRDefault="005E2DAC" w14:paraId="3BA906DA"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 xml:space="preserve">Headings are very general. Users will find it difficult to understand the context of the content underneath the heading. Effects all users. Directly impacts the WCAG guidelines. </w:t>
            </w:r>
          </w:p>
        </w:tc>
      </w:tr>
      <w:tr w:rsidRPr="006D229A" w:rsidR="006D229A" w:rsidTr="0062691C" w14:paraId="298BE5A3" w14:textId="77777777">
        <w:tc>
          <w:tcPr>
            <w:cnfStyle w:val="001000000000" w:firstRow="0" w:lastRow="0" w:firstColumn="1" w:lastColumn="0" w:oddVBand="0" w:evenVBand="0" w:oddHBand="0" w:evenHBand="0" w:firstRowFirstColumn="0" w:firstRowLastColumn="0" w:lastRowFirstColumn="0" w:lastRowLastColumn="0"/>
            <w:tcW w:w="2595" w:type="dxa"/>
          </w:tcPr>
          <w:p w:rsidRPr="006D229A" w:rsidR="005E2DAC" w:rsidP="005E2DAC" w:rsidRDefault="005E2DAC" w14:paraId="588485EA" w14:textId="77777777">
            <w:pPr>
              <w:rPr>
                <w:rFonts w:asciiTheme="minorHAnsi" w:hAnsiTheme="minorHAnsi"/>
              </w:rPr>
            </w:pPr>
            <w:r w:rsidRPr="006D229A">
              <w:rPr>
                <w:rFonts w:asciiTheme="minorHAnsi" w:hAnsiTheme="minorHAnsi"/>
              </w:rPr>
              <w:t>Flows, Screens, and devices effected</w:t>
            </w:r>
          </w:p>
        </w:tc>
        <w:tc>
          <w:tcPr>
            <w:tcW w:w="7260" w:type="dxa"/>
            <w:gridSpan w:val="2"/>
          </w:tcPr>
          <w:p w:rsidRPr="006D229A" w:rsidR="005E2DAC" w:rsidP="005E2DAC" w:rsidRDefault="005E2DAC" w14:paraId="6F123BC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All flows, all screens, all devices</w:t>
            </w:r>
          </w:p>
        </w:tc>
      </w:tr>
      <w:tr w:rsidRPr="006D229A" w:rsidR="006D229A" w:rsidTr="0062691C" w14:paraId="4B910C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tcPr>
          <w:p w:rsidRPr="006D229A" w:rsidR="005E2DAC" w:rsidP="005E2DAC" w:rsidRDefault="005E2DAC" w14:paraId="76F5556F" w14:textId="77777777">
            <w:pPr>
              <w:rPr>
                <w:rFonts w:asciiTheme="minorHAnsi" w:hAnsiTheme="minorHAnsi"/>
              </w:rPr>
            </w:pPr>
            <w:r w:rsidRPr="006D229A">
              <w:rPr>
                <w:rFonts w:asciiTheme="minorHAnsi" w:hAnsiTheme="minorHAnsi"/>
              </w:rPr>
              <w:t>Issue Description</w:t>
            </w:r>
          </w:p>
        </w:tc>
        <w:tc>
          <w:tcPr>
            <w:tcW w:w="7260" w:type="dxa"/>
            <w:gridSpan w:val="2"/>
          </w:tcPr>
          <w:p w:rsidRPr="006D229A" w:rsidR="005E2DAC" w:rsidP="005E2DAC" w:rsidRDefault="005E2DAC" w14:paraId="3CDB7E82"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Current issue – it is unclear if each pages utilises appropriate headings and labels</w:t>
            </w:r>
          </w:p>
        </w:tc>
      </w:tr>
      <w:tr w:rsidRPr="006D229A" w:rsidR="006D229A" w:rsidTr="0062691C" w14:paraId="41BDA331" w14:textId="77777777">
        <w:tc>
          <w:tcPr>
            <w:cnfStyle w:val="001000000000" w:firstRow="0" w:lastRow="0" w:firstColumn="1" w:lastColumn="0" w:oddVBand="0" w:evenVBand="0" w:oddHBand="0" w:evenHBand="0" w:firstRowFirstColumn="0" w:firstRowLastColumn="0" w:lastRowFirstColumn="0" w:lastRowLastColumn="0"/>
            <w:tcW w:w="2595" w:type="dxa"/>
          </w:tcPr>
          <w:p w:rsidRPr="006D229A" w:rsidR="005E2DAC" w:rsidP="005E2DAC" w:rsidRDefault="005E2DAC" w14:paraId="1694C633" w14:textId="77777777">
            <w:pPr>
              <w:rPr>
                <w:rFonts w:asciiTheme="minorHAnsi" w:hAnsiTheme="minorHAnsi"/>
              </w:rPr>
            </w:pPr>
            <w:r w:rsidRPr="006D229A">
              <w:rPr>
                <w:rFonts w:asciiTheme="minorHAnsi" w:hAnsiTheme="minorHAnsi"/>
              </w:rPr>
              <w:t>Screen Capture</w:t>
            </w:r>
          </w:p>
        </w:tc>
        <w:tc>
          <w:tcPr>
            <w:tcW w:w="7260" w:type="dxa"/>
            <w:gridSpan w:val="2"/>
          </w:tcPr>
          <w:p w:rsidRPr="006D229A" w:rsidR="005E2DAC" w:rsidP="005E2DAC" w:rsidRDefault="005E2DAC" w14:paraId="648447A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NA</w:t>
            </w:r>
          </w:p>
        </w:tc>
      </w:tr>
      <w:tr w:rsidRPr="006D229A" w:rsidR="006D229A" w:rsidTr="0062691C" w14:paraId="52EE5EA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tcPr>
          <w:p w:rsidRPr="006D229A" w:rsidR="005E2DAC" w:rsidP="005E2DAC" w:rsidRDefault="005E2DAC" w14:paraId="232A5A41" w14:textId="77777777">
            <w:pPr>
              <w:rPr>
                <w:rFonts w:asciiTheme="minorHAnsi" w:hAnsiTheme="minorHAnsi"/>
              </w:rPr>
            </w:pPr>
            <w:r w:rsidRPr="006D229A">
              <w:rPr>
                <w:rFonts w:asciiTheme="minorHAnsi" w:hAnsiTheme="minorHAnsi"/>
              </w:rPr>
              <w:t>Remediation Advice</w:t>
            </w:r>
          </w:p>
        </w:tc>
        <w:tc>
          <w:tcPr>
            <w:tcW w:w="7260" w:type="dxa"/>
            <w:gridSpan w:val="2"/>
          </w:tcPr>
          <w:p w:rsidRPr="006D229A" w:rsidR="005E2DAC" w:rsidP="005E2DAC" w:rsidRDefault="005E2DAC" w14:paraId="2AD54615"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 xml:space="preserve">Ensure heading levels are used appropriately.  Descriptive headings and titles work together to give users an overview of the content and its organisation. </w:t>
            </w:r>
          </w:p>
        </w:tc>
      </w:tr>
      <w:tr w:rsidRPr="006D229A" w:rsidR="006D229A" w:rsidTr="0062691C" w14:paraId="4DA0629B" w14:textId="77777777">
        <w:tc>
          <w:tcPr>
            <w:cnfStyle w:val="001000000000" w:firstRow="0" w:lastRow="0" w:firstColumn="1" w:lastColumn="0" w:oddVBand="0" w:evenVBand="0" w:oddHBand="0" w:evenHBand="0" w:firstRowFirstColumn="0" w:firstRowLastColumn="0" w:lastRowFirstColumn="0" w:lastRowLastColumn="0"/>
            <w:tcW w:w="2595" w:type="dxa"/>
          </w:tcPr>
          <w:p w:rsidRPr="006D229A" w:rsidR="005E2DAC" w:rsidP="005E2DAC" w:rsidRDefault="005E2DAC" w14:paraId="1DB13FE0" w14:textId="77777777">
            <w:pPr>
              <w:rPr>
                <w:rFonts w:asciiTheme="minorHAnsi" w:hAnsiTheme="minorHAnsi"/>
              </w:rPr>
            </w:pPr>
            <w:r w:rsidRPr="006D229A">
              <w:rPr>
                <w:rFonts w:asciiTheme="minorHAnsi" w:hAnsiTheme="minorHAnsi"/>
              </w:rPr>
              <w:t>Selection Criteria Impacted</w:t>
            </w:r>
          </w:p>
        </w:tc>
        <w:tc>
          <w:tcPr>
            <w:tcW w:w="7260" w:type="dxa"/>
            <w:gridSpan w:val="2"/>
          </w:tcPr>
          <w:p w:rsidRPr="006D229A" w:rsidR="005E2DAC" w:rsidP="005E2DAC" w:rsidRDefault="005E2DAC" w14:paraId="33EC31B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2.4.6 Headings and Labels</w:t>
            </w:r>
          </w:p>
          <w:p w:rsidRPr="006D229A" w:rsidR="005E2DAC" w:rsidP="005E2DAC" w:rsidRDefault="009B4FF6" w14:paraId="073D16C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r:id="rId12">
              <w:r w:rsidRPr="006D229A" w:rsidR="005E2DAC">
                <w:rPr>
                  <w:rStyle w:val="Hyperlink"/>
                  <w:rFonts w:asciiTheme="minorHAnsi" w:hAnsiTheme="minorHAnsi"/>
                  <w:color w:val="auto"/>
                </w:rPr>
                <w:t>https://www.w3.org/WAI/WCAG21/Techniques/general/G130</w:t>
              </w:r>
            </w:hyperlink>
          </w:p>
        </w:tc>
      </w:tr>
    </w:tbl>
    <w:p w:rsidRPr="006D229A" w:rsidR="005E2DAC" w:rsidP="005E2DAC" w:rsidRDefault="005E2DAC" w14:paraId="1CF3ADA0" w14:textId="77777777"/>
    <w:p w:rsidRPr="006D229A" w:rsidR="005E2DAC" w:rsidP="005E2DAC" w:rsidRDefault="005E2DAC" w14:paraId="4B589A62" w14:textId="3B800B0F"/>
    <w:tbl>
      <w:tblPr>
        <w:tblStyle w:val="ListTable3-Accent1"/>
        <w:tblW w:w="0" w:type="auto"/>
        <w:tblLook w:val="04A0" w:firstRow="1" w:lastRow="0" w:firstColumn="1" w:lastColumn="0" w:noHBand="0" w:noVBand="1"/>
      </w:tblPr>
      <w:tblGrid>
        <w:gridCol w:w="2600"/>
        <w:gridCol w:w="6042"/>
        <w:gridCol w:w="1213"/>
      </w:tblGrid>
      <w:tr w:rsidRPr="006D229A" w:rsidR="006D229A" w:rsidTr="0062691C" w14:paraId="013920ED"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642" w:type="dxa"/>
            <w:gridSpan w:val="2"/>
          </w:tcPr>
          <w:p w:rsidRPr="006D229A" w:rsidR="0062691C" w:rsidP="005E2DAC" w:rsidRDefault="0062691C" w14:paraId="220AFA58" w14:textId="77777777">
            <w:pPr>
              <w:rPr>
                <w:sz w:val="24"/>
                <w:szCs w:val="24"/>
              </w:rPr>
            </w:pPr>
            <w:r w:rsidRPr="006D229A">
              <w:rPr>
                <w:rFonts w:asciiTheme="minorHAnsi" w:hAnsiTheme="minorHAnsi"/>
                <w:color w:val="auto"/>
                <w:sz w:val="24"/>
                <w:szCs w:val="24"/>
              </w:rPr>
              <w:t>Theme 6 – Locating content through search results in multiple ways</w:t>
            </w:r>
          </w:p>
        </w:tc>
        <w:tc>
          <w:tcPr>
            <w:tcW w:w="1213" w:type="dxa"/>
          </w:tcPr>
          <w:p w:rsidRPr="006D229A" w:rsidR="005E2DAC" w:rsidP="005E2DAC" w:rsidRDefault="005E2DAC" w14:paraId="2127717A" w14:textId="7A8A2DC6">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4"/>
                <w:szCs w:val="24"/>
              </w:rPr>
            </w:pPr>
          </w:p>
        </w:tc>
      </w:tr>
      <w:tr w:rsidRPr="006D229A" w:rsidR="006D229A" w:rsidTr="0062691C" w14:paraId="09F6B2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tcPr>
          <w:p w:rsidRPr="006D229A" w:rsidR="005E2DAC" w:rsidP="005E2DAC" w:rsidRDefault="005E2DAC" w14:paraId="07B0E224" w14:textId="77777777">
            <w:pPr>
              <w:rPr>
                <w:rFonts w:asciiTheme="minorHAnsi" w:hAnsiTheme="minorHAnsi"/>
              </w:rPr>
            </w:pPr>
            <w:r w:rsidRPr="006D229A">
              <w:rPr>
                <w:rFonts w:asciiTheme="minorHAnsi" w:hAnsiTheme="minorHAnsi"/>
              </w:rPr>
              <w:t>Severity</w:t>
            </w:r>
          </w:p>
        </w:tc>
        <w:tc>
          <w:tcPr>
            <w:tcW w:w="7255" w:type="dxa"/>
            <w:gridSpan w:val="2"/>
          </w:tcPr>
          <w:p w:rsidRPr="006D229A" w:rsidR="005E2DAC" w:rsidP="005E2DAC" w:rsidRDefault="005E2DAC" w14:paraId="27E041D8"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 xml:space="preserve">Medium. </w:t>
            </w:r>
          </w:p>
          <w:p w:rsidRPr="006D229A" w:rsidR="005E2DAC" w:rsidP="005E2DAC" w:rsidRDefault="005E2DAC" w14:paraId="614AB460"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 xml:space="preserve">It is crucial for the search results to be conveyed through a hidden field to enable screen readers to announce search results to users. </w:t>
            </w:r>
          </w:p>
        </w:tc>
      </w:tr>
      <w:tr w:rsidRPr="006D229A" w:rsidR="006D229A" w:rsidTr="0062691C" w14:paraId="39A0B377" w14:textId="77777777">
        <w:tc>
          <w:tcPr>
            <w:cnfStyle w:val="001000000000" w:firstRow="0" w:lastRow="0" w:firstColumn="1" w:lastColumn="0" w:oddVBand="0" w:evenVBand="0" w:oddHBand="0" w:evenHBand="0" w:firstRowFirstColumn="0" w:firstRowLastColumn="0" w:lastRowFirstColumn="0" w:lastRowLastColumn="0"/>
            <w:tcW w:w="2600" w:type="dxa"/>
          </w:tcPr>
          <w:p w:rsidRPr="006D229A" w:rsidR="005E2DAC" w:rsidP="005E2DAC" w:rsidRDefault="005E2DAC" w14:paraId="581F8FFE" w14:textId="77777777">
            <w:pPr>
              <w:rPr>
                <w:rFonts w:asciiTheme="minorHAnsi" w:hAnsiTheme="minorHAnsi"/>
              </w:rPr>
            </w:pPr>
            <w:r w:rsidRPr="006D229A">
              <w:rPr>
                <w:rFonts w:asciiTheme="minorHAnsi" w:hAnsiTheme="minorHAnsi"/>
              </w:rPr>
              <w:t>Flows, Screens, and devices effected</w:t>
            </w:r>
          </w:p>
        </w:tc>
        <w:tc>
          <w:tcPr>
            <w:tcW w:w="7255" w:type="dxa"/>
            <w:gridSpan w:val="2"/>
          </w:tcPr>
          <w:p w:rsidRPr="006D229A" w:rsidR="005E2DAC" w:rsidP="005E2DAC" w:rsidRDefault="005E2DAC" w14:paraId="4DE3DCF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Consent Flow, DH selection 01 screen, all devices</w:t>
            </w:r>
          </w:p>
        </w:tc>
      </w:tr>
      <w:tr w:rsidRPr="006D229A" w:rsidR="006D229A" w:rsidTr="0062691C" w14:paraId="4230CF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tcPr>
          <w:p w:rsidRPr="006D229A" w:rsidR="005E2DAC" w:rsidP="005E2DAC" w:rsidRDefault="005E2DAC" w14:paraId="6511BDDC" w14:textId="77777777">
            <w:pPr>
              <w:rPr>
                <w:rFonts w:asciiTheme="minorHAnsi" w:hAnsiTheme="minorHAnsi"/>
              </w:rPr>
            </w:pPr>
            <w:r w:rsidRPr="006D229A">
              <w:rPr>
                <w:rFonts w:asciiTheme="minorHAnsi" w:hAnsiTheme="minorHAnsi"/>
              </w:rPr>
              <w:t>Issue Description</w:t>
            </w:r>
          </w:p>
        </w:tc>
        <w:tc>
          <w:tcPr>
            <w:tcW w:w="7255" w:type="dxa"/>
            <w:gridSpan w:val="2"/>
          </w:tcPr>
          <w:p w:rsidRPr="006D229A" w:rsidR="005E2DAC" w:rsidP="005E2DAC" w:rsidRDefault="005E2DAC" w14:paraId="74AD94C2"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 xml:space="preserve">Current issue – when consumers search for their provider, it should be possible for consumers to locate content in a manner that best meets their needs. It is not clear that there is a placeholder for that message. </w:t>
            </w:r>
          </w:p>
        </w:tc>
      </w:tr>
      <w:tr w:rsidRPr="006D229A" w:rsidR="006D229A" w:rsidTr="0062691C" w14:paraId="1A8453D5" w14:textId="77777777">
        <w:tc>
          <w:tcPr>
            <w:cnfStyle w:val="001000000000" w:firstRow="0" w:lastRow="0" w:firstColumn="1" w:lastColumn="0" w:oddVBand="0" w:evenVBand="0" w:oddHBand="0" w:evenHBand="0" w:firstRowFirstColumn="0" w:firstRowLastColumn="0" w:lastRowFirstColumn="0" w:lastRowLastColumn="0"/>
            <w:tcW w:w="2600" w:type="dxa"/>
          </w:tcPr>
          <w:p w:rsidRPr="006D229A" w:rsidR="005E2DAC" w:rsidP="005E2DAC" w:rsidRDefault="005E2DAC" w14:paraId="659A6F1D" w14:textId="77777777">
            <w:pPr>
              <w:rPr>
                <w:rFonts w:asciiTheme="minorHAnsi" w:hAnsiTheme="minorHAnsi"/>
              </w:rPr>
            </w:pPr>
            <w:r w:rsidRPr="006D229A">
              <w:rPr>
                <w:rFonts w:asciiTheme="minorHAnsi" w:hAnsiTheme="minorHAnsi"/>
              </w:rPr>
              <w:t>Screen Capture</w:t>
            </w:r>
          </w:p>
        </w:tc>
        <w:tc>
          <w:tcPr>
            <w:tcW w:w="7255" w:type="dxa"/>
            <w:gridSpan w:val="2"/>
          </w:tcPr>
          <w:p w:rsidRPr="006D229A" w:rsidR="005E2DAC" w:rsidP="005E2DAC" w:rsidRDefault="005E2DAC" w14:paraId="70A58FA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NA</w:t>
            </w:r>
          </w:p>
        </w:tc>
      </w:tr>
      <w:tr w:rsidRPr="006D229A" w:rsidR="006D229A" w:rsidTr="0062691C" w14:paraId="06797D8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tcPr>
          <w:p w:rsidRPr="006D229A" w:rsidR="005E2DAC" w:rsidP="005E2DAC" w:rsidRDefault="005E2DAC" w14:paraId="6190D058" w14:textId="77777777">
            <w:pPr>
              <w:rPr>
                <w:rFonts w:asciiTheme="minorHAnsi" w:hAnsiTheme="minorHAnsi"/>
              </w:rPr>
            </w:pPr>
            <w:r w:rsidRPr="006D229A">
              <w:rPr>
                <w:rFonts w:asciiTheme="minorHAnsi" w:hAnsiTheme="minorHAnsi"/>
              </w:rPr>
              <w:t>Remediation Advice</w:t>
            </w:r>
          </w:p>
        </w:tc>
        <w:tc>
          <w:tcPr>
            <w:tcW w:w="7255" w:type="dxa"/>
            <w:gridSpan w:val="2"/>
          </w:tcPr>
          <w:p w:rsidRPr="006D229A" w:rsidR="005E2DAC" w:rsidP="005E2DAC" w:rsidRDefault="005E2DAC" w14:paraId="0B95A221"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Use screen reader only text stating “provider found” and anchor that text to provider label</w:t>
            </w:r>
          </w:p>
        </w:tc>
      </w:tr>
      <w:tr w:rsidRPr="006D229A" w:rsidR="006D229A" w:rsidTr="0062691C" w14:paraId="2F768BBB" w14:textId="77777777">
        <w:tc>
          <w:tcPr>
            <w:cnfStyle w:val="001000000000" w:firstRow="0" w:lastRow="0" w:firstColumn="1" w:lastColumn="0" w:oddVBand="0" w:evenVBand="0" w:oddHBand="0" w:evenHBand="0" w:firstRowFirstColumn="0" w:firstRowLastColumn="0" w:lastRowFirstColumn="0" w:lastRowLastColumn="0"/>
            <w:tcW w:w="2600" w:type="dxa"/>
          </w:tcPr>
          <w:p w:rsidRPr="006D229A" w:rsidR="005E2DAC" w:rsidP="005E2DAC" w:rsidRDefault="005E2DAC" w14:paraId="7DD10D43" w14:textId="77777777">
            <w:pPr>
              <w:rPr>
                <w:rFonts w:asciiTheme="minorHAnsi" w:hAnsiTheme="minorHAnsi"/>
              </w:rPr>
            </w:pPr>
            <w:r w:rsidRPr="006D229A">
              <w:rPr>
                <w:rFonts w:asciiTheme="minorHAnsi" w:hAnsiTheme="minorHAnsi"/>
              </w:rPr>
              <w:t>Selection Criteria Impacted</w:t>
            </w:r>
          </w:p>
        </w:tc>
        <w:tc>
          <w:tcPr>
            <w:tcW w:w="7255" w:type="dxa"/>
            <w:gridSpan w:val="2"/>
          </w:tcPr>
          <w:p w:rsidRPr="006D229A" w:rsidR="005E2DAC" w:rsidP="005E2DAC" w:rsidRDefault="005E2DAC" w14:paraId="57F6BB2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2.4.5 Multiple Ways</w:t>
            </w:r>
            <w:r w:rsidRPr="006D229A">
              <w:rPr>
                <w:rFonts w:asciiTheme="minorHAnsi" w:hAnsiTheme="minorHAnsi"/>
              </w:rPr>
              <w:br/>
            </w:r>
            <w:hyperlink r:id="rId13">
              <w:r w:rsidRPr="006D229A">
                <w:rPr>
                  <w:rStyle w:val="Hyperlink"/>
                  <w:rFonts w:asciiTheme="minorHAnsi" w:hAnsiTheme="minorHAnsi"/>
                  <w:color w:val="auto"/>
                </w:rPr>
                <w:t>https://www.w3.org/WAI/WCAG21/Understanding/multiple-ways.html</w:t>
              </w:r>
            </w:hyperlink>
          </w:p>
        </w:tc>
      </w:tr>
    </w:tbl>
    <w:p w:rsidRPr="006D229A" w:rsidR="005E2DAC" w:rsidP="005E2DAC" w:rsidRDefault="005E2DAC" w14:paraId="71DB4020" w14:textId="77777777"/>
    <w:p w:rsidRPr="006D229A" w:rsidR="009D6B1B" w:rsidRDefault="009D6B1B" w14:paraId="0337F880" w14:textId="41AD583D">
      <w:pPr>
        <w:spacing w:after="160" w:line="259" w:lineRule="auto"/>
      </w:pPr>
      <w:r w:rsidRPr="006D229A">
        <w:br w:type="page"/>
      </w:r>
    </w:p>
    <w:tbl>
      <w:tblPr>
        <w:tblStyle w:val="ListTable3-Accent1"/>
        <w:tblW w:w="9860" w:type="dxa"/>
        <w:tblLook w:val="04A0" w:firstRow="1" w:lastRow="0" w:firstColumn="1" w:lastColumn="0" w:noHBand="0" w:noVBand="1"/>
      </w:tblPr>
      <w:tblGrid>
        <w:gridCol w:w="2607"/>
        <w:gridCol w:w="2323"/>
        <w:gridCol w:w="4930"/>
      </w:tblGrid>
      <w:tr w:rsidRPr="006D229A" w:rsidR="006D229A" w:rsidTr="0062691C" w14:paraId="11C9826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30" w:type="dxa"/>
            <w:gridSpan w:val="2"/>
          </w:tcPr>
          <w:p w:rsidRPr="006D229A" w:rsidR="0062691C" w:rsidP="005E2DAC" w:rsidRDefault="0062691C" w14:paraId="58A7755A" w14:textId="77777777">
            <w:pPr>
              <w:rPr>
                <w:sz w:val="24"/>
                <w:szCs w:val="24"/>
              </w:rPr>
            </w:pPr>
            <w:r w:rsidRPr="006D229A">
              <w:rPr>
                <w:rFonts w:asciiTheme="minorHAnsi" w:hAnsiTheme="minorHAnsi"/>
                <w:color w:val="auto"/>
                <w:sz w:val="24"/>
                <w:szCs w:val="24"/>
              </w:rPr>
              <w:lastRenderedPageBreak/>
              <w:t>Theme 7 – Radio button Focus</w:t>
            </w:r>
          </w:p>
        </w:tc>
        <w:tc>
          <w:tcPr>
            <w:tcW w:w="4930" w:type="dxa"/>
          </w:tcPr>
          <w:p w:rsidRPr="006D229A" w:rsidR="005E2DAC" w:rsidP="005E2DAC" w:rsidRDefault="005E2DAC" w14:paraId="1544F722" w14:textId="43CE33D6">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4"/>
                <w:szCs w:val="24"/>
              </w:rPr>
            </w:pPr>
          </w:p>
        </w:tc>
      </w:tr>
      <w:tr w:rsidRPr="006D229A" w:rsidR="006D229A" w:rsidTr="0062691C" w14:paraId="4D10193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rsidRPr="006D229A" w:rsidR="005E2DAC" w:rsidP="005E2DAC" w:rsidRDefault="005E2DAC" w14:paraId="7A9CC351" w14:textId="77777777">
            <w:pPr>
              <w:rPr>
                <w:rFonts w:asciiTheme="minorHAnsi" w:hAnsiTheme="minorHAnsi"/>
              </w:rPr>
            </w:pPr>
            <w:r w:rsidRPr="006D229A">
              <w:rPr>
                <w:rFonts w:asciiTheme="minorHAnsi" w:hAnsiTheme="minorHAnsi"/>
              </w:rPr>
              <w:t>Severity</w:t>
            </w:r>
          </w:p>
        </w:tc>
        <w:tc>
          <w:tcPr>
            <w:tcW w:w="7253" w:type="dxa"/>
            <w:gridSpan w:val="2"/>
          </w:tcPr>
          <w:p w:rsidRPr="006D229A" w:rsidR="005E2DAC" w:rsidP="005E2DAC" w:rsidRDefault="005E2DAC" w14:paraId="6AFDFE13"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Medium</w:t>
            </w:r>
          </w:p>
          <w:p w:rsidRPr="006D229A" w:rsidR="005E2DAC" w:rsidP="005E2DAC" w:rsidRDefault="005E2DAC" w14:paraId="2D08FE4A"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 xml:space="preserve">It is best practice to group the label with the radio button so that when the fields receive focus, screen reader will announce the label along with the button. If missing screen reader users will not be provided context of the radio button as the label will be read separately. Combining the views allows screen reader users to quickly navigate the entire view rather than having to skip through multiple sections of the same content. </w:t>
            </w:r>
          </w:p>
        </w:tc>
      </w:tr>
      <w:tr w:rsidRPr="006D229A" w:rsidR="006D229A" w:rsidTr="0062691C" w14:paraId="35466566" w14:textId="77777777">
        <w:tc>
          <w:tcPr>
            <w:cnfStyle w:val="001000000000" w:firstRow="0" w:lastRow="0" w:firstColumn="1" w:lastColumn="0" w:oddVBand="0" w:evenVBand="0" w:oddHBand="0" w:evenHBand="0" w:firstRowFirstColumn="0" w:firstRowLastColumn="0" w:lastRowFirstColumn="0" w:lastRowLastColumn="0"/>
            <w:tcW w:w="2607" w:type="dxa"/>
          </w:tcPr>
          <w:p w:rsidRPr="006D229A" w:rsidR="005E2DAC" w:rsidP="005E2DAC" w:rsidRDefault="005E2DAC" w14:paraId="7DA39BD4" w14:textId="77777777">
            <w:pPr>
              <w:rPr>
                <w:rFonts w:asciiTheme="minorHAnsi" w:hAnsiTheme="minorHAnsi"/>
              </w:rPr>
            </w:pPr>
            <w:r w:rsidRPr="006D229A">
              <w:rPr>
                <w:rFonts w:asciiTheme="minorHAnsi" w:hAnsiTheme="minorHAnsi"/>
              </w:rPr>
              <w:t>Flows, Screens, and devices effected</w:t>
            </w:r>
          </w:p>
        </w:tc>
        <w:tc>
          <w:tcPr>
            <w:tcW w:w="7253" w:type="dxa"/>
            <w:gridSpan w:val="2"/>
          </w:tcPr>
          <w:p w:rsidRPr="006D229A" w:rsidR="005E2DAC" w:rsidP="005E2DAC" w:rsidRDefault="005E2DAC" w14:paraId="089E203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Consent Flow, DH selection 01, all</w:t>
            </w:r>
          </w:p>
        </w:tc>
      </w:tr>
      <w:tr w:rsidRPr="006D229A" w:rsidR="006D229A" w:rsidTr="0062691C" w14:paraId="4E5843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rsidRPr="006D229A" w:rsidR="005E2DAC" w:rsidP="005E2DAC" w:rsidRDefault="005E2DAC" w14:paraId="68ACD338" w14:textId="77777777">
            <w:pPr>
              <w:rPr>
                <w:rFonts w:asciiTheme="minorHAnsi" w:hAnsiTheme="minorHAnsi"/>
              </w:rPr>
            </w:pPr>
            <w:r w:rsidRPr="006D229A">
              <w:rPr>
                <w:rFonts w:asciiTheme="minorHAnsi" w:hAnsiTheme="minorHAnsi"/>
              </w:rPr>
              <w:t>Issue Description</w:t>
            </w:r>
          </w:p>
        </w:tc>
        <w:tc>
          <w:tcPr>
            <w:tcW w:w="7253" w:type="dxa"/>
            <w:gridSpan w:val="2"/>
          </w:tcPr>
          <w:p w:rsidRPr="006D229A" w:rsidR="005E2DAC" w:rsidP="005E2DAC" w:rsidRDefault="005E2DAC" w14:paraId="492FEB07"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Current issue – it is not clear if the Radio button and associated labels getting the same focus.</w:t>
            </w:r>
          </w:p>
        </w:tc>
      </w:tr>
      <w:tr w:rsidRPr="006D229A" w:rsidR="006D229A" w:rsidTr="0062691C" w14:paraId="5005F1DA" w14:textId="77777777">
        <w:tc>
          <w:tcPr>
            <w:cnfStyle w:val="001000000000" w:firstRow="0" w:lastRow="0" w:firstColumn="1" w:lastColumn="0" w:oddVBand="0" w:evenVBand="0" w:oddHBand="0" w:evenHBand="0" w:firstRowFirstColumn="0" w:firstRowLastColumn="0" w:lastRowFirstColumn="0" w:lastRowLastColumn="0"/>
            <w:tcW w:w="2607" w:type="dxa"/>
          </w:tcPr>
          <w:p w:rsidRPr="006D229A" w:rsidR="005E2DAC" w:rsidP="005E2DAC" w:rsidRDefault="005E2DAC" w14:paraId="2B287540" w14:textId="77777777">
            <w:pPr>
              <w:rPr>
                <w:rFonts w:asciiTheme="minorHAnsi" w:hAnsiTheme="minorHAnsi"/>
              </w:rPr>
            </w:pPr>
            <w:r w:rsidRPr="006D229A">
              <w:rPr>
                <w:rFonts w:asciiTheme="minorHAnsi" w:hAnsiTheme="minorHAnsi"/>
              </w:rPr>
              <w:t>Screen Capture</w:t>
            </w:r>
          </w:p>
        </w:tc>
        <w:tc>
          <w:tcPr>
            <w:tcW w:w="7253" w:type="dxa"/>
            <w:gridSpan w:val="2"/>
          </w:tcPr>
          <w:p w:rsidRPr="006D229A" w:rsidR="005E2DAC" w:rsidP="005E2DAC" w:rsidRDefault="005E2DAC" w14:paraId="4A26DD5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noProof/>
                <w:shd w:val="clear" w:color="auto" w:fill="E6E6E6"/>
              </w:rPr>
              <w:drawing>
                <wp:inline distT="0" distB="0" distL="0" distR="0" wp14:anchorId="54039953" wp14:editId="5595A4D0">
                  <wp:extent cx="2390775" cy="742950"/>
                  <wp:effectExtent l="0" t="0" r="9525" b="0"/>
                  <wp:docPr id="4" name="Picture 4"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shot demonstrating issue described"/>
                          <pic:cNvPicPr/>
                        </pic:nvPicPr>
                        <pic:blipFill>
                          <a:blip r:embed="rId14">
                            <a:extLst>
                              <a:ext uri="{28A0092B-C50C-407E-A947-70E740481C1C}">
                                <a14:useLocalDpi xmlns:a14="http://schemas.microsoft.com/office/drawing/2010/main" val="0"/>
                              </a:ext>
                            </a:extLst>
                          </a:blip>
                          <a:stretch>
                            <a:fillRect/>
                          </a:stretch>
                        </pic:blipFill>
                        <pic:spPr>
                          <a:xfrm>
                            <a:off x="0" y="0"/>
                            <a:ext cx="2390775" cy="742950"/>
                          </a:xfrm>
                          <a:prstGeom prst="rect">
                            <a:avLst/>
                          </a:prstGeom>
                        </pic:spPr>
                      </pic:pic>
                    </a:graphicData>
                  </a:graphic>
                </wp:inline>
              </w:drawing>
            </w:r>
          </w:p>
        </w:tc>
      </w:tr>
      <w:tr w:rsidRPr="006D229A" w:rsidR="006D229A" w:rsidTr="0062691C" w14:paraId="1FDE2B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rsidRPr="006D229A" w:rsidR="005E2DAC" w:rsidP="005E2DAC" w:rsidRDefault="005E2DAC" w14:paraId="0F1C0839" w14:textId="77777777">
            <w:pPr>
              <w:rPr>
                <w:rFonts w:asciiTheme="minorHAnsi" w:hAnsiTheme="minorHAnsi"/>
              </w:rPr>
            </w:pPr>
            <w:r w:rsidRPr="006D229A">
              <w:rPr>
                <w:rFonts w:asciiTheme="minorHAnsi" w:hAnsiTheme="minorHAnsi"/>
              </w:rPr>
              <w:t>Remediation Advice</w:t>
            </w:r>
          </w:p>
        </w:tc>
        <w:tc>
          <w:tcPr>
            <w:tcW w:w="7253" w:type="dxa"/>
            <w:gridSpan w:val="2"/>
          </w:tcPr>
          <w:p w:rsidRPr="006D229A" w:rsidR="005E2DAC" w:rsidP="005E2DAC" w:rsidRDefault="005E2DAC" w14:paraId="417425E2"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 xml:space="preserve">Ensure both Radio and Labels have single Focus </w:t>
            </w:r>
          </w:p>
        </w:tc>
      </w:tr>
      <w:tr w:rsidRPr="006D229A" w:rsidR="006D229A" w:rsidTr="0062691C" w14:paraId="76610697" w14:textId="77777777">
        <w:tc>
          <w:tcPr>
            <w:cnfStyle w:val="001000000000" w:firstRow="0" w:lastRow="0" w:firstColumn="1" w:lastColumn="0" w:oddVBand="0" w:evenVBand="0" w:oddHBand="0" w:evenHBand="0" w:firstRowFirstColumn="0" w:firstRowLastColumn="0" w:lastRowFirstColumn="0" w:lastRowLastColumn="0"/>
            <w:tcW w:w="2607" w:type="dxa"/>
          </w:tcPr>
          <w:p w:rsidRPr="006D229A" w:rsidR="005E2DAC" w:rsidP="005E2DAC" w:rsidRDefault="005E2DAC" w14:paraId="292E9337" w14:textId="77777777">
            <w:pPr>
              <w:rPr>
                <w:rFonts w:asciiTheme="minorHAnsi" w:hAnsiTheme="minorHAnsi"/>
              </w:rPr>
            </w:pPr>
            <w:r w:rsidRPr="006D229A">
              <w:rPr>
                <w:rFonts w:asciiTheme="minorHAnsi" w:hAnsiTheme="minorHAnsi"/>
              </w:rPr>
              <w:t>Selection Criteria Impacted</w:t>
            </w:r>
          </w:p>
        </w:tc>
        <w:tc>
          <w:tcPr>
            <w:tcW w:w="7253" w:type="dxa"/>
            <w:gridSpan w:val="2"/>
          </w:tcPr>
          <w:p w:rsidRPr="006D229A" w:rsidR="005E2DAC" w:rsidP="005E2DAC" w:rsidRDefault="005E2DAC" w14:paraId="7AD271B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2.4.7 Focus Visible</w:t>
            </w:r>
            <w:r w:rsidRPr="006D229A">
              <w:rPr>
                <w:rFonts w:asciiTheme="minorHAnsi" w:hAnsiTheme="minorHAnsi"/>
              </w:rPr>
              <w:br/>
            </w:r>
            <w:hyperlink w:history="1" r:id="rId15">
              <w:r w:rsidRPr="006D229A">
                <w:rPr>
                  <w:rStyle w:val="Hyperlink"/>
                  <w:rFonts w:asciiTheme="minorHAnsi" w:hAnsiTheme="minorHAnsi"/>
                  <w:color w:val="auto"/>
                </w:rPr>
                <w:t>https://www.w3.org/WAI/WCAG21/Understanding/focus-visible.html</w:t>
              </w:r>
            </w:hyperlink>
          </w:p>
        </w:tc>
      </w:tr>
    </w:tbl>
    <w:p w:rsidRPr="006D229A" w:rsidR="005E2DAC" w:rsidP="00F73C9B" w:rsidRDefault="005E2DAC" w14:paraId="4D4BD22A" w14:textId="0CC39D45">
      <w:pPr>
        <w:rPr>
          <w:sz w:val="24"/>
          <w:szCs w:val="24"/>
        </w:rPr>
      </w:pPr>
    </w:p>
    <w:tbl>
      <w:tblPr>
        <w:tblStyle w:val="ListTable3-Accent1"/>
        <w:tblW w:w="0" w:type="auto"/>
        <w:tblLook w:val="04A0" w:firstRow="1" w:lastRow="0" w:firstColumn="1" w:lastColumn="0" w:noHBand="0" w:noVBand="1"/>
      </w:tblPr>
      <w:tblGrid>
        <w:gridCol w:w="2605"/>
        <w:gridCol w:w="2322"/>
        <w:gridCol w:w="4928"/>
      </w:tblGrid>
      <w:tr w:rsidRPr="006D229A" w:rsidR="006D229A" w:rsidTr="00EF256C" w14:paraId="1FC4A9E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27" w:type="dxa"/>
            <w:gridSpan w:val="2"/>
          </w:tcPr>
          <w:p w:rsidRPr="006D229A" w:rsidR="0062691C" w:rsidP="00F73C9B" w:rsidRDefault="0062691C" w14:paraId="0E575E09" w14:textId="77777777">
            <w:pPr>
              <w:rPr>
                <w:sz w:val="24"/>
                <w:szCs w:val="24"/>
              </w:rPr>
            </w:pPr>
            <w:r w:rsidRPr="006D229A">
              <w:rPr>
                <w:rFonts w:asciiTheme="minorHAnsi" w:hAnsiTheme="minorHAnsi"/>
                <w:color w:val="auto"/>
                <w:sz w:val="24"/>
                <w:szCs w:val="24"/>
              </w:rPr>
              <w:t>Theme 8 – Target size</w:t>
            </w:r>
          </w:p>
        </w:tc>
        <w:tc>
          <w:tcPr>
            <w:tcW w:w="4928" w:type="dxa"/>
          </w:tcPr>
          <w:p w:rsidRPr="006D229A" w:rsidR="005E2DAC" w:rsidP="00F73C9B" w:rsidRDefault="005E2DAC" w14:paraId="70CA6654" w14:textId="36B66542">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4"/>
                <w:szCs w:val="24"/>
              </w:rPr>
            </w:pPr>
          </w:p>
        </w:tc>
      </w:tr>
      <w:tr w:rsidRPr="006D229A" w:rsidR="006D229A" w:rsidTr="0062691C" w14:paraId="2A7EDD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rsidRPr="006D229A" w:rsidR="005E2DAC" w:rsidP="00F73C9B" w:rsidRDefault="005E2DAC" w14:paraId="56B64F97" w14:textId="77777777">
            <w:pPr>
              <w:rPr>
                <w:rFonts w:asciiTheme="minorHAnsi" w:hAnsiTheme="minorHAnsi"/>
              </w:rPr>
            </w:pPr>
            <w:r w:rsidRPr="006D229A">
              <w:rPr>
                <w:rFonts w:asciiTheme="minorHAnsi" w:hAnsiTheme="minorHAnsi"/>
              </w:rPr>
              <w:t>Severity</w:t>
            </w:r>
          </w:p>
        </w:tc>
        <w:tc>
          <w:tcPr>
            <w:tcW w:w="7250" w:type="dxa"/>
            <w:gridSpan w:val="2"/>
          </w:tcPr>
          <w:p w:rsidRPr="006D229A" w:rsidR="005E2DAC" w:rsidP="00F73C9B" w:rsidRDefault="005E2DAC" w14:paraId="2B1843CD"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 xml:space="preserve">High  </w:t>
            </w:r>
          </w:p>
          <w:p w:rsidRPr="006D229A" w:rsidR="005E2DAC" w:rsidP="00F73C9B" w:rsidRDefault="005E2DAC" w14:paraId="5CEDD12F"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 xml:space="preserve">This issue is relevant for smaller screens. If the button size is not as per the WCAG standard, various users will have difficulty using the button and completing the process. </w:t>
            </w:r>
          </w:p>
        </w:tc>
      </w:tr>
      <w:tr w:rsidRPr="006D229A" w:rsidR="006D229A" w:rsidTr="0062691C" w14:paraId="33201432" w14:textId="77777777">
        <w:tc>
          <w:tcPr>
            <w:cnfStyle w:val="001000000000" w:firstRow="0" w:lastRow="0" w:firstColumn="1" w:lastColumn="0" w:oddVBand="0" w:evenVBand="0" w:oddHBand="0" w:evenHBand="0" w:firstRowFirstColumn="0" w:firstRowLastColumn="0" w:lastRowFirstColumn="0" w:lastRowLastColumn="0"/>
            <w:tcW w:w="2605" w:type="dxa"/>
          </w:tcPr>
          <w:p w:rsidRPr="006D229A" w:rsidR="005E2DAC" w:rsidP="00F73C9B" w:rsidRDefault="005E2DAC" w14:paraId="5FFF9BE4" w14:textId="77777777">
            <w:pPr>
              <w:rPr>
                <w:rFonts w:asciiTheme="minorHAnsi" w:hAnsiTheme="minorHAnsi"/>
              </w:rPr>
            </w:pPr>
            <w:r w:rsidRPr="006D229A">
              <w:rPr>
                <w:rFonts w:asciiTheme="minorHAnsi" w:hAnsiTheme="minorHAnsi"/>
              </w:rPr>
              <w:t>Flows, Screens, and devices effected</w:t>
            </w:r>
          </w:p>
        </w:tc>
        <w:tc>
          <w:tcPr>
            <w:tcW w:w="7250" w:type="dxa"/>
            <w:gridSpan w:val="2"/>
          </w:tcPr>
          <w:p w:rsidRPr="006D229A" w:rsidR="005E2DAC" w:rsidP="00F73C9B" w:rsidRDefault="005E2DAC" w14:paraId="6C0C68D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All flows, all screens, all devices but emphasising mobile</w:t>
            </w:r>
          </w:p>
        </w:tc>
      </w:tr>
      <w:tr w:rsidRPr="006D229A" w:rsidR="006D229A" w:rsidTr="0062691C" w14:paraId="6102E9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rsidRPr="006D229A" w:rsidR="005E2DAC" w:rsidP="00F73C9B" w:rsidRDefault="005E2DAC" w14:paraId="70B38C44" w14:textId="77777777">
            <w:pPr>
              <w:rPr>
                <w:rFonts w:asciiTheme="minorHAnsi" w:hAnsiTheme="minorHAnsi"/>
              </w:rPr>
            </w:pPr>
            <w:r w:rsidRPr="006D229A">
              <w:rPr>
                <w:rFonts w:asciiTheme="minorHAnsi" w:hAnsiTheme="minorHAnsi"/>
              </w:rPr>
              <w:t>Issue Description</w:t>
            </w:r>
          </w:p>
        </w:tc>
        <w:tc>
          <w:tcPr>
            <w:tcW w:w="7250" w:type="dxa"/>
            <w:gridSpan w:val="2"/>
          </w:tcPr>
          <w:p w:rsidRPr="006D229A" w:rsidR="005E2DAC" w:rsidP="00F73C9B" w:rsidRDefault="005E2DAC" w14:paraId="3318FF32"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Current issue – the size of the target area is unclear. Users need to be able to easily activate them, even on small handheld devices</w:t>
            </w:r>
          </w:p>
        </w:tc>
      </w:tr>
      <w:tr w:rsidRPr="006D229A" w:rsidR="006D229A" w:rsidTr="0062691C" w14:paraId="7FFF3B93" w14:textId="77777777">
        <w:tc>
          <w:tcPr>
            <w:cnfStyle w:val="001000000000" w:firstRow="0" w:lastRow="0" w:firstColumn="1" w:lastColumn="0" w:oddVBand="0" w:evenVBand="0" w:oddHBand="0" w:evenHBand="0" w:firstRowFirstColumn="0" w:firstRowLastColumn="0" w:lastRowFirstColumn="0" w:lastRowLastColumn="0"/>
            <w:tcW w:w="2605" w:type="dxa"/>
          </w:tcPr>
          <w:p w:rsidRPr="006D229A" w:rsidR="005E2DAC" w:rsidP="00F73C9B" w:rsidRDefault="005E2DAC" w14:paraId="47C9450A" w14:textId="77777777">
            <w:pPr>
              <w:rPr>
                <w:rFonts w:asciiTheme="minorHAnsi" w:hAnsiTheme="minorHAnsi"/>
              </w:rPr>
            </w:pPr>
            <w:r w:rsidRPr="006D229A">
              <w:rPr>
                <w:rFonts w:asciiTheme="minorHAnsi" w:hAnsiTheme="minorHAnsi"/>
              </w:rPr>
              <w:t>Screen Capture</w:t>
            </w:r>
          </w:p>
        </w:tc>
        <w:tc>
          <w:tcPr>
            <w:tcW w:w="7250" w:type="dxa"/>
            <w:gridSpan w:val="2"/>
          </w:tcPr>
          <w:p w:rsidRPr="006D229A" w:rsidR="005E2DAC" w:rsidP="00F73C9B" w:rsidRDefault="005E2DAC" w14:paraId="0F6A670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 xml:space="preserve"> </w:t>
            </w:r>
            <w:r w:rsidRPr="006D229A">
              <w:rPr>
                <w:noProof/>
                <w:shd w:val="clear" w:color="auto" w:fill="E6E6E6"/>
              </w:rPr>
              <w:drawing>
                <wp:inline distT="0" distB="0" distL="0" distR="0" wp14:anchorId="7B22DAE1" wp14:editId="19DD0CD2">
                  <wp:extent cx="1579245" cy="591185"/>
                  <wp:effectExtent l="0" t="0" r="1905" b="0"/>
                  <wp:docPr id="3" name="Picture 19"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9" descr="Screen shot demonstrating issue described"/>
                          <pic:cNvPicPr/>
                        </pic:nvPicPr>
                        <pic:blipFill>
                          <a:blip r:embed="rId16">
                            <a:extLst>
                              <a:ext uri="{28A0092B-C50C-407E-A947-70E740481C1C}">
                                <a14:useLocalDpi xmlns:a14="http://schemas.microsoft.com/office/drawing/2010/main" val="0"/>
                              </a:ext>
                            </a:extLst>
                          </a:blip>
                          <a:stretch>
                            <a:fillRect/>
                          </a:stretch>
                        </pic:blipFill>
                        <pic:spPr bwMode="auto">
                          <a:xfrm>
                            <a:off x="0" y="0"/>
                            <a:ext cx="1579245" cy="591185"/>
                          </a:xfrm>
                          <a:prstGeom prst="rect">
                            <a:avLst/>
                          </a:prstGeom>
                          <a:noFill/>
                        </pic:spPr>
                      </pic:pic>
                    </a:graphicData>
                  </a:graphic>
                </wp:inline>
              </w:drawing>
            </w:r>
          </w:p>
        </w:tc>
      </w:tr>
      <w:tr w:rsidRPr="006D229A" w:rsidR="006D229A" w:rsidTr="0062691C" w14:paraId="39C8177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rsidRPr="006D229A" w:rsidR="005E2DAC" w:rsidP="00F73C9B" w:rsidRDefault="005E2DAC" w14:paraId="7D9D73E7" w14:textId="77777777">
            <w:pPr>
              <w:rPr>
                <w:rFonts w:asciiTheme="minorHAnsi" w:hAnsiTheme="minorHAnsi"/>
              </w:rPr>
            </w:pPr>
            <w:r w:rsidRPr="006D229A">
              <w:rPr>
                <w:rFonts w:asciiTheme="minorHAnsi" w:hAnsiTheme="minorHAnsi"/>
              </w:rPr>
              <w:t>Remediation Advice</w:t>
            </w:r>
          </w:p>
        </w:tc>
        <w:tc>
          <w:tcPr>
            <w:tcW w:w="7250" w:type="dxa"/>
            <w:gridSpan w:val="2"/>
          </w:tcPr>
          <w:p w:rsidRPr="006D229A" w:rsidR="005E2DAC" w:rsidP="00F73C9B" w:rsidRDefault="005E2DAC" w14:paraId="1C746EB7"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Ensure that touch targets are at least 44 by 44 CSS pixels. Provide a mechanism to change the size of the target independent of magnification.</w:t>
            </w:r>
          </w:p>
        </w:tc>
      </w:tr>
      <w:tr w:rsidRPr="006D229A" w:rsidR="006D229A" w:rsidTr="0062691C" w14:paraId="1F225571" w14:textId="77777777">
        <w:tc>
          <w:tcPr>
            <w:cnfStyle w:val="001000000000" w:firstRow="0" w:lastRow="0" w:firstColumn="1" w:lastColumn="0" w:oddVBand="0" w:evenVBand="0" w:oddHBand="0" w:evenHBand="0" w:firstRowFirstColumn="0" w:firstRowLastColumn="0" w:lastRowFirstColumn="0" w:lastRowLastColumn="0"/>
            <w:tcW w:w="2605" w:type="dxa"/>
          </w:tcPr>
          <w:p w:rsidRPr="006D229A" w:rsidR="005E2DAC" w:rsidP="00F73C9B" w:rsidRDefault="005E2DAC" w14:paraId="4C38A717" w14:textId="77777777">
            <w:pPr>
              <w:rPr>
                <w:rFonts w:asciiTheme="minorHAnsi" w:hAnsiTheme="minorHAnsi"/>
              </w:rPr>
            </w:pPr>
            <w:r w:rsidRPr="006D229A">
              <w:rPr>
                <w:rFonts w:asciiTheme="minorHAnsi" w:hAnsiTheme="minorHAnsi"/>
              </w:rPr>
              <w:t>Selection Criteria Impacted</w:t>
            </w:r>
          </w:p>
        </w:tc>
        <w:tc>
          <w:tcPr>
            <w:tcW w:w="7250" w:type="dxa"/>
            <w:gridSpan w:val="2"/>
          </w:tcPr>
          <w:p w:rsidRPr="006D229A" w:rsidR="005E2DAC" w:rsidP="00F73C9B" w:rsidRDefault="005E2DAC" w14:paraId="346EF10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2.5.5 Target Size</w:t>
            </w:r>
            <w:r w:rsidRPr="006D229A">
              <w:rPr>
                <w:rFonts w:asciiTheme="minorHAnsi" w:hAnsiTheme="minorHAnsi"/>
              </w:rPr>
              <w:br/>
            </w:r>
            <w:hyperlink w:history="1" r:id="rId17">
              <w:r w:rsidRPr="006D229A">
                <w:rPr>
                  <w:rStyle w:val="Hyperlink"/>
                  <w:rFonts w:asciiTheme="minorHAnsi" w:hAnsiTheme="minorHAnsi"/>
                  <w:color w:val="auto"/>
                </w:rPr>
                <w:t>https://www.w3.org/WAI/WCAG21/Understanding/target-size.html</w:t>
              </w:r>
            </w:hyperlink>
          </w:p>
        </w:tc>
      </w:tr>
    </w:tbl>
    <w:p w:rsidRPr="006D229A" w:rsidR="005E2DAC" w:rsidP="00F73C9B" w:rsidRDefault="005E2DAC" w14:paraId="0334A21A" w14:textId="77777777">
      <w:pPr>
        <w:rPr>
          <w:rFonts w:eastAsia="Georgia"/>
          <w:lang w:eastAsia="en-AU"/>
        </w:rPr>
      </w:pPr>
    </w:p>
    <w:p w:rsidRPr="006D229A" w:rsidR="00F73C9B" w:rsidRDefault="00F73C9B" w14:paraId="153B6EF4" w14:textId="47750FCC">
      <w:pPr>
        <w:spacing w:after="160" w:line="259" w:lineRule="auto"/>
        <w:rPr>
          <w:rFonts w:eastAsia="Georgia"/>
          <w:lang w:eastAsia="en-AU"/>
        </w:rPr>
      </w:pPr>
      <w:r w:rsidRPr="006D229A">
        <w:rPr>
          <w:rFonts w:eastAsia="Georgia"/>
          <w:lang w:eastAsia="en-AU"/>
        </w:rPr>
        <w:br w:type="page"/>
      </w:r>
    </w:p>
    <w:tbl>
      <w:tblPr>
        <w:tblStyle w:val="ListTable3-Accent1"/>
        <w:tblW w:w="0" w:type="auto"/>
        <w:tblLook w:val="04A0" w:firstRow="1" w:lastRow="0" w:firstColumn="1" w:lastColumn="0" w:noHBand="0" w:noVBand="1"/>
      </w:tblPr>
      <w:tblGrid>
        <w:gridCol w:w="2605"/>
        <w:gridCol w:w="2322"/>
        <w:gridCol w:w="4928"/>
      </w:tblGrid>
      <w:tr w:rsidRPr="006D229A" w:rsidR="006D229A" w:rsidTr="00EF256C" w14:paraId="6ADA2EF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27" w:type="dxa"/>
            <w:gridSpan w:val="2"/>
          </w:tcPr>
          <w:p w:rsidRPr="006D229A" w:rsidR="0062691C" w:rsidP="00F73C9B" w:rsidRDefault="0062691C" w14:paraId="3CE7BB27" w14:textId="77777777">
            <w:pPr>
              <w:rPr>
                <w:sz w:val="24"/>
                <w:szCs w:val="24"/>
              </w:rPr>
            </w:pPr>
            <w:r w:rsidRPr="006D229A">
              <w:rPr>
                <w:rFonts w:asciiTheme="minorHAnsi" w:hAnsiTheme="minorHAnsi"/>
                <w:color w:val="auto"/>
                <w:sz w:val="24"/>
                <w:szCs w:val="24"/>
              </w:rPr>
              <w:lastRenderedPageBreak/>
              <w:t>Theme 9 – Focus Order</w:t>
            </w:r>
          </w:p>
        </w:tc>
        <w:tc>
          <w:tcPr>
            <w:tcW w:w="4928" w:type="dxa"/>
          </w:tcPr>
          <w:p w:rsidRPr="006D229A" w:rsidR="005E2DAC" w:rsidP="00F73C9B" w:rsidRDefault="005E2DAC" w14:paraId="241C4044" w14:textId="361774C7">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p>
        </w:tc>
      </w:tr>
      <w:tr w:rsidRPr="006D229A" w:rsidR="006D229A" w:rsidTr="0062691C" w14:paraId="24C053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rsidRPr="006D229A" w:rsidR="005E2DAC" w:rsidP="00F73C9B" w:rsidRDefault="005E2DAC" w14:paraId="4F48B7C2" w14:textId="77777777">
            <w:pPr>
              <w:rPr>
                <w:rFonts w:asciiTheme="minorHAnsi" w:hAnsiTheme="minorHAnsi"/>
              </w:rPr>
            </w:pPr>
            <w:r w:rsidRPr="006D229A">
              <w:rPr>
                <w:rFonts w:asciiTheme="minorHAnsi" w:hAnsiTheme="minorHAnsi"/>
              </w:rPr>
              <w:t>Severity</w:t>
            </w:r>
          </w:p>
        </w:tc>
        <w:tc>
          <w:tcPr>
            <w:tcW w:w="7250" w:type="dxa"/>
            <w:gridSpan w:val="2"/>
          </w:tcPr>
          <w:p w:rsidRPr="006D229A" w:rsidR="005E2DAC" w:rsidP="00F73C9B" w:rsidRDefault="005E2DAC" w14:paraId="33BE7B66"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Medium</w:t>
            </w:r>
          </w:p>
          <w:p w:rsidRPr="006D229A" w:rsidR="005E2DAC" w:rsidP="00F73C9B" w:rsidRDefault="005E2DAC" w14:paraId="2D90BD71"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 xml:space="preserve">The flow of the page is unclear. The focus order should be intuitive for all types of users. If not than some users may not be able to access all the information and have the same experience as sighted users. </w:t>
            </w:r>
          </w:p>
        </w:tc>
      </w:tr>
      <w:tr w:rsidRPr="006D229A" w:rsidR="006D229A" w:rsidTr="0062691C" w14:paraId="2D9D21EC" w14:textId="77777777">
        <w:tc>
          <w:tcPr>
            <w:cnfStyle w:val="001000000000" w:firstRow="0" w:lastRow="0" w:firstColumn="1" w:lastColumn="0" w:oddVBand="0" w:evenVBand="0" w:oddHBand="0" w:evenHBand="0" w:firstRowFirstColumn="0" w:firstRowLastColumn="0" w:lastRowFirstColumn="0" w:lastRowLastColumn="0"/>
            <w:tcW w:w="2605" w:type="dxa"/>
          </w:tcPr>
          <w:p w:rsidRPr="006D229A" w:rsidR="005E2DAC" w:rsidP="00F73C9B" w:rsidRDefault="005E2DAC" w14:paraId="01437E87" w14:textId="77777777">
            <w:pPr>
              <w:rPr>
                <w:rFonts w:asciiTheme="minorHAnsi" w:hAnsiTheme="minorHAnsi"/>
              </w:rPr>
            </w:pPr>
            <w:r w:rsidRPr="006D229A">
              <w:rPr>
                <w:rFonts w:asciiTheme="minorHAnsi" w:hAnsiTheme="minorHAnsi"/>
              </w:rPr>
              <w:t>Flows, Screens, and devices effected</w:t>
            </w:r>
          </w:p>
        </w:tc>
        <w:tc>
          <w:tcPr>
            <w:tcW w:w="7250" w:type="dxa"/>
            <w:gridSpan w:val="2"/>
          </w:tcPr>
          <w:p w:rsidRPr="006D229A" w:rsidR="005E2DAC" w:rsidP="00F73C9B" w:rsidRDefault="005E2DAC" w14:paraId="1559B5B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Consent flow, collection and use consent screen, all devices</w:t>
            </w:r>
          </w:p>
        </w:tc>
      </w:tr>
      <w:tr w:rsidRPr="006D229A" w:rsidR="006D229A" w:rsidTr="0062691C" w14:paraId="7A98266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rsidRPr="006D229A" w:rsidR="005E2DAC" w:rsidP="00F73C9B" w:rsidRDefault="005E2DAC" w14:paraId="002B240E" w14:textId="77777777">
            <w:pPr>
              <w:rPr>
                <w:rFonts w:asciiTheme="minorHAnsi" w:hAnsiTheme="minorHAnsi"/>
              </w:rPr>
            </w:pPr>
            <w:r w:rsidRPr="006D229A">
              <w:rPr>
                <w:rFonts w:asciiTheme="minorHAnsi" w:hAnsiTheme="minorHAnsi"/>
              </w:rPr>
              <w:t>Issue Description</w:t>
            </w:r>
          </w:p>
        </w:tc>
        <w:tc>
          <w:tcPr>
            <w:tcW w:w="7250" w:type="dxa"/>
            <w:gridSpan w:val="2"/>
          </w:tcPr>
          <w:p w:rsidRPr="006D229A" w:rsidR="005E2DAC" w:rsidP="00F73C9B" w:rsidRDefault="005E2DAC" w14:paraId="1212E998"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It is unclear if the accreditation link receives focus. Similar observation for “learn more and other links”</w:t>
            </w:r>
          </w:p>
        </w:tc>
      </w:tr>
      <w:tr w:rsidRPr="006D229A" w:rsidR="006D229A" w:rsidTr="0062691C" w14:paraId="0C0FCC89" w14:textId="77777777">
        <w:tc>
          <w:tcPr>
            <w:cnfStyle w:val="001000000000" w:firstRow="0" w:lastRow="0" w:firstColumn="1" w:lastColumn="0" w:oddVBand="0" w:evenVBand="0" w:oddHBand="0" w:evenHBand="0" w:firstRowFirstColumn="0" w:firstRowLastColumn="0" w:lastRowFirstColumn="0" w:lastRowLastColumn="0"/>
            <w:tcW w:w="2605" w:type="dxa"/>
          </w:tcPr>
          <w:p w:rsidRPr="006D229A" w:rsidR="005E2DAC" w:rsidP="00F73C9B" w:rsidRDefault="005E2DAC" w14:paraId="3A061421" w14:textId="77777777">
            <w:pPr>
              <w:rPr>
                <w:rFonts w:asciiTheme="minorHAnsi" w:hAnsiTheme="minorHAnsi"/>
              </w:rPr>
            </w:pPr>
            <w:r w:rsidRPr="006D229A">
              <w:rPr>
                <w:rFonts w:asciiTheme="minorHAnsi" w:hAnsiTheme="minorHAnsi"/>
              </w:rPr>
              <w:t>Screen Capture</w:t>
            </w:r>
          </w:p>
        </w:tc>
        <w:tc>
          <w:tcPr>
            <w:tcW w:w="7250" w:type="dxa"/>
            <w:gridSpan w:val="2"/>
          </w:tcPr>
          <w:p w:rsidRPr="006D229A" w:rsidR="005E2DAC" w:rsidP="00F73C9B" w:rsidRDefault="005E2DAC" w14:paraId="163F0E2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noProof/>
                <w:shd w:val="clear" w:color="auto" w:fill="E6E6E6"/>
              </w:rPr>
              <w:drawing>
                <wp:inline distT="0" distB="0" distL="0" distR="0" wp14:anchorId="7A6EAB30" wp14:editId="7CE57D2A">
                  <wp:extent cx="2177339" cy="1447800"/>
                  <wp:effectExtent l="0" t="0" r="0" b="0"/>
                  <wp:docPr id="2" name="Picture 18"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 descr="Screen shot demonstrating issue described"/>
                          <pic:cNvPicPr/>
                        </pic:nvPicPr>
                        <pic:blipFill>
                          <a:blip r:embed="rId18">
                            <a:extLst>
                              <a:ext uri="{28A0092B-C50C-407E-A947-70E740481C1C}">
                                <a14:useLocalDpi xmlns:a14="http://schemas.microsoft.com/office/drawing/2010/main" val="0"/>
                              </a:ext>
                            </a:extLst>
                          </a:blip>
                          <a:stretch>
                            <a:fillRect/>
                          </a:stretch>
                        </pic:blipFill>
                        <pic:spPr>
                          <a:xfrm>
                            <a:off x="0" y="0"/>
                            <a:ext cx="2177339" cy="1447800"/>
                          </a:xfrm>
                          <a:prstGeom prst="rect">
                            <a:avLst/>
                          </a:prstGeom>
                        </pic:spPr>
                      </pic:pic>
                    </a:graphicData>
                  </a:graphic>
                </wp:inline>
              </w:drawing>
            </w:r>
          </w:p>
        </w:tc>
      </w:tr>
      <w:tr w:rsidRPr="006D229A" w:rsidR="006D229A" w:rsidTr="0062691C" w14:paraId="5BDC04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rsidRPr="006D229A" w:rsidR="005E2DAC" w:rsidP="00F73C9B" w:rsidRDefault="005E2DAC" w14:paraId="552664BB" w14:textId="77777777">
            <w:pPr>
              <w:rPr>
                <w:rFonts w:asciiTheme="minorHAnsi" w:hAnsiTheme="minorHAnsi"/>
              </w:rPr>
            </w:pPr>
            <w:r w:rsidRPr="006D229A">
              <w:rPr>
                <w:rFonts w:asciiTheme="minorHAnsi" w:hAnsiTheme="minorHAnsi"/>
              </w:rPr>
              <w:t>Remediation Advice</w:t>
            </w:r>
          </w:p>
        </w:tc>
        <w:tc>
          <w:tcPr>
            <w:tcW w:w="7250" w:type="dxa"/>
            <w:gridSpan w:val="2"/>
          </w:tcPr>
          <w:p w:rsidRPr="006D229A" w:rsidR="005E2DAC" w:rsidP="00F73C9B" w:rsidRDefault="005E2DAC" w14:paraId="3CF34648"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 xml:space="preserve">Ensure all links are part of the natural focus order. Top to bottom, left to right. </w:t>
            </w:r>
          </w:p>
        </w:tc>
      </w:tr>
      <w:tr w:rsidRPr="006D229A" w:rsidR="006D229A" w:rsidTr="0062691C" w14:paraId="0DA6097E" w14:textId="77777777">
        <w:tc>
          <w:tcPr>
            <w:cnfStyle w:val="001000000000" w:firstRow="0" w:lastRow="0" w:firstColumn="1" w:lastColumn="0" w:oddVBand="0" w:evenVBand="0" w:oddHBand="0" w:evenHBand="0" w:firstRowFirstColumn="0" w:firstRowLastColumn="0" w:lastRowFirstColumn="0" w:lastRowLastColumn="0"/>
            <w:tcW w:w="2605" w:type="dxa"/>
          </w:tcPr>
          <w:p w:rsidRPr="006D229A" w:rsidR="005E2DAC" w:rsidP="00F73C9B" w:rsidRDefault="005E2DAC" w14:paraId="22AB8C55" w14:textId="77777777">
            <w:pPr>
              <w:rPr>
                <w:rFonts w:asciiTheme="minorHAnsi" w:hAnsiTheme="minorHAnsi"/>
              </w:rPr>
            </w:pPr>
            <w:r w:rsidRPr="006D229A">
              <w:rPr>
                <w:rFonts w:asciiTheme="minorHAnsi" w:hAnsiTheme="minorHAnsi"/>
              </w:rPr>
              <w:t>Selection Criteria Impacted</w:t>
            </w:r>
          </w:p>
        </w:tc>
        <w:tc>
          <w:tcPr>
            <w:tcW w:w="7250" w:type="dxa"/>
            <w:gridSpan w:val="2"/>
          </w:tcPr>
          <w:p w:rsidRPr="006D229A" w:rsidR="005E2DAC" w:rsidP="00F73C9B" w:rsidRDefault="005E2DAC" w14:paraId="2A33508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2.4.3 Focus Order</w:t>
            </w:r>
            <w:r w:rsidRPr="006D229A">
              <w:rPr>
                <w:rFonts w:asciiTheme="minorHAnsi" w:hAnsiTheme="minorHAnsi"/>
              </w:rPr>
              <w:br/>
            </w:r>
            <w:hyperlink w:history="1" r:id="rId19">
              <w:r w:rsidRPr="006D229A">
                <w:rPr>
                  <w:rStyle w:val="Hyperlink"/>
                  <w:rFonts w:asciiTheme="minorHAnsi" w:hAnsiTheme="minorHAnsi"/>
                  <w:color w:val="auto"/>
                </w:rPr>
                <w:t>https://www.w3.org/WAI/WCAG21/Understanding/focus-order.html</w:t>
              </w:r>
            </w:hyperlink>
          </w:p>
        </w:tc>
      </w:tr>
    </w:tbl>
    <w:p w:rsidRPr="006D229A" w:rsidR="00F73C9B" w:rsidP="00F73C9B" w:rsidRDefault="00F73C9B" w14:paraId="35C6D933" w14:textId="4DBDB7DB"/>
    <w:tbl>
      <w:tblPr>
        <w:tblStyle w:val="ListTable3-Accent1"/>
        <w:tblW w:w="0" w:type="auto"/>
        <w:tblLook w:val="04A0" w:firstRow="1" w:lastRow="0" w:firstColumn="1" w:lastColumn="0" w:noHBand="0" w:noVBand="1"/>
      </w:tblPr>
      <w:tblGrid>
        <w:gridCol w:w="2630"/>
        <w:gridCol w:w="2297"/>
        <w:gridCol w:w="4928"/>
      </w:tblGrid>
      <w:tr w:rsidRPr="00F73C9B" w:rsidR="009B4FF6" w:rsidTr="006569D0" w14:paraId="063AD17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27" w:type="dxa"/>
            <w:gridSpan w:val="2"/>
          </w:tcPr>
          <w:p w:rsidRPr="004616CD" w:rsidR="009B4FF6" w:rsidP="006569D0" w:rsidRDefault="009B4FF6" w14:paraId="79A232FA" w14:textId="77777777">
            <w:pPr>
              <w:rPr>
                <w:sz w:val="24"/>
                <w:szCs w:val="24"/>
              </w:rPr>
            </w:pPr>
            <w:r w:rsidRPr="004616CD">
              <w:rPr>
                <w:rFonts w:asciiTheme="minorHAnsi" w:hAnsiTheme="minorHAnsi"/>
                <w:color w:val="auto"/>
                <w:sz w:val="24"/>
                <w:szCs w:val="24"/>
              </w:rPr>
              <w:t>Theme 10 – Meaningful Link Text</w:t>
            </w:r>
          </w:p>
        </w:tc>
        <w:tc>
          <w:tcPr>
            <w:tcW w:w="4928" w:type="dxa"/>
          </w:tcPr>
          <w:p w:rsidRPr="004616CD" w:rsidR="009B4FF6" w:rsidP="006569D0" w:rsidRDefault="009B4FF6" w14:paraId="5E8A99CA"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p>
        </w:tc>
      </w:tr>
      <w:tr w:rsidRPr="00F73C9B" w:rsidR="009B4FF6" w:rsidTr="006569D0" w14:paraId="696C7A2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0" w:type="dxa"/>
          </w:tcPr>
          <w:p w:rsidRPr="00F73C9B" w:rsidR="009B4FF6" w:rsidP="006569D0" w:rsidRDefault="009B4FF6" w14:paraId="1981CDF2" w14:textId="77777777">
            <w:pPr>
              <w:rPr>
                <w:rFonts w:asciiTheme="minorHAnsi" w:hAnsiTheme="minorHAnsi"/>
              </w:rPr>
            </w:pPr>
            <w:r w:rsidRPr="00F73C9B">
              <w:rPr>
                <w:rFonts w:asciiTheme="minorHAnsi" w:hAnsiTheme="minorHAnsi"/>
              </w:rPr>
              <w:t>Severity</w:t>
            </w:r>
          </w:p>
        </w:tc>
        <w:tc>
          <w:tcPr>
            <w:tcW w:w="7225" w:type="dxa"/>
            <w:gridSpan w:val="2"/>
          </w:tcPr>
          <w:p w:rsidRPr="00F73C9B" w:rsidR="009B4FF6" w:rsidP="006569D0" w:rsidRDefault="009B4FF6" w14:paraId="23C673FD"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73C9B">
              <w:rPr>
                <w:rFonts w:asciiTheme="minorHAnsi" w:hAnsiTheme="minorHAnsi"/>
              </w:rPr>
              <w:t xml:space="preserve">Medium </w:t>
            </w:r>
          </w:p>
          <w:p w:rsidRPr="00F73C9B" w:rsidR="009B4FF6" w:rsidP="006569D0" w:rsidRDefault="009B4FF6" w14:paraId="0F5C77CC"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73C9B">
              <w:rPr>
                <w:rFonts w:asciiTheme="minorHAnsi" w:hAnsiTheme="minorHAnsi"/>
              </w:rPr>
              <w:t xml:space="preserve">The link descriptions are too general. Screen reader users will not be able to distinguish the information to pe provided by selecting the link. Users have no idea of what they are ‘seeing more’ of. </w:t>
            </w:r>
          </w:p>
        </w:tc>
      </w:tr>
      <w:tr w:rsidRPr="00F73C9B" w:rsidR="009B4FF6" w:rsidTr="006569D0" w14:paraId="11BFFD19" w14:textId="77777777">
        <w:tc>
          <w:tcPr>
            <w:cnfStyle w:val="001000000000" w:firstRow="0" w:lastRow="0" w:firstColumn="1" w:lastColumn="0" w:oddVBand="0" w:evenVBand="0" w:oddHBand="0" w:evenHBand="0" w:firstRowFirstColumn="0" w:firstRowLastColumn="0" w:lastRowFirstColumn="0" w:lastRowLastColumn="0"/>
            <w:tcW w:w="2630" w:type="dxa"/>
          </w:tcPr>
          <w:p w:rsidRPr="00F73C9B" w:rsidR="009B4FF6" w:rsidP="006569D0" w:rsidRDefault="009B4FF6" w14:paraId="0196974A" w14:textId="77777777">
            <w:pPr>
              <w:rPr>
                <w:rFonts w:asciiTheme="minorHAnsi" w:hAnsiTheme="minorHAnsi"/>
              </w:rPr>
            </w:pPr>
            <w:r w:rsidRPr="00F73C9B">
              <w:rPr>
                <w:rFonts w:asciiTheme="minorHAnsi" w:hAnsiTheme="minorHAnsi"/>
              </w:rPr>
              <w:t>Flows, Screens, and devices effected</w:t>
            </w:r>
          </w:p>
        </w:tc>
        <w:tc>
          <w:tcPr>
            <w:tcW w:w="7225" w:type="dxa"/>
            <w:gridSpan w:val="2"/>
          </w:tcPr>
          <w:p w:rsidRPr="00F73C9B" w:rsidR="009B4FF6" w:rsidP="006569D0" w:rsidRDefault="009B4FF6" w14:paraId="0936AE0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73C9B">
              <w:rPr>
                <w:rFonts w:asciiTheme="minorHAnsi" w:hAnsiTheme="minorHAnsi"/>
              </w:rPr>
              <w:t xml:space="preserve">Consent and authorisation flows, all pages, all devices. </w:t>
            </w:r>
          </w:p>
        </w:tc>
      </w:tr>
      <w:tr w:rsidRPr="00F73C9B" w:rsidR="009B4FF6" w:rsidTr="006569D0" w14:paraId="3C1367D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0" w:type="dxa"/>
          </w:tcPr>
          <w:p w:rsidRPr="00F73C9B" w:rsidR="009B4FF6" w:rsidP="006569D0" w:rsidRDefault="009B4FF6" w14:paraId="0D5D54EE" w14:textId="77777777">
            <w:pPr>
              <w:rPr>
                <w:rFonts w:asciiTheme="minorHAnsi" w:hAnsiTheme="minorHAnsi"/>
              </w:rPr>
            </w:pPr>
            <w:r w:rsidRPr="00F73C9B">
              <w:rPr>
                <w:rFonts w:asciiTheme="minorHAnsi" w:hAnsiTheme="minorHAnsi"/>
              </w:rPr>
              <w:t>Issue Description</w:t>
            </w:r>
          </w:p>
        </w:tc>
        <w:tc>
          <w:tcPr>
            <w:tcW w:w="7225" w:type="dxa"/>
            <w:gridSpan w:val="2"/>
          </w:tcPr>
          <w:p w:rsidRPr="00F73C9B" w:rsidR="009B4FF6" w:rsidP="006569D0" w:rsidRDefault="009B4FF6" w14:paraId="508FEA11"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73C9B">
              <w:rPr>
                <w:rFonts w:asciiTheme="minorHAnsi" w:hAnsiTheme="minorHAnsi"/>
              </w:rPr>
              <w:t xml:space="preserve">Best practice reminder – ensure link text identifies the purpose of the link without the requirement for additional context. </w:t>
            </w:r>
          </w:p>
        </w:tc>
      </w:tr>
      <w:tr w:rsidRPr="00F73C9B" w:rsidR="009B4FF6" w:rsidTr="006569D0" w14:paraId="0601D01F" w14:textId="77777777">
        <w:tc>
          <w:tcPr>
            <w:cnfStyle w:val="001000000000" w:firstRow="0" w:lastRow="0" w:firstColumn="1" w:lastColumn="0" w:oddVBand="0" w:evenVBand="0" w:oddHBand="0" w:evenHBand="0" w:firstRowFirstColumn="0" w:firstRowLastColumn="0" w:lastRowFirstColumn="0" w:lastRowLastColumn="0"/>
            <w:tcW w:w="2630" w:type="dxa"/>
          </w:tcPr>
          <w:p w:rsidRPr="00F73C9B" w:rsidR="009B4FF6" w:rsidP="006569D0" w:rsidRDefault="009B4FF6" w14:paraId="4F83037C" w14:textId="77777777">
            <w:pPr>
              <w:rPr>
                <w:rFonts w:asciiTheme="minorHAnsi" w:hAnsiTheme="minorHAnsi"/>
              </w:rPr>
            </w:pPr>
            <w:r w:rsidRPr="00F73C9B">
              <w:rPr>
                <w:rFonts w:asciiTheme="minorHAnsi" w:hAnsiTheme="minorHAnsi"/>
              </w:rPr>
              <w:t>Screen Capture</w:t>
            </w:r>
          </w:p>
        </w:tc>
        <w:tc>
          <w:tcPr>
            <w:tcW w:w="7225" w:type="dxa"/>
            <w:gridSpan w:val="2"/>
          </w:tcPr>
          <w:p w:rsidRPr="00F73C9B" w:rsidR="009B4FF6" w:rsidP="006569D0" w:rsidRDefault="009B4FF6" w14:paraId="7029933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73C9B">
              <w:rPr>
                <w:noProof/>
                <w:color w:val="2B579A"/>
                <w:shd w:val="clear" w:color="auto" w:fill="E6E6E6"/>
              </w:rPr>
              <w:drawing>
                <wp:inline distT="0" distB="0" distL="0" distR="0" wp14:anchorId="4D3D9109" wp14:editId="4DF1E0A2">
                  <wp:extent cx="2280285" cy="1969135"/>
                  <wp:effectExtent l="0" t="0" r="5715" b="0"/>
                  <wp:docPr id="1" name="Picture 6"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Screen shot demonstrating issue described"/>
                          <pic:cNvPicPr/>
                        </pic:nvPicPr>
                        <pic:blipFill>
                          <a:blip r:embed="rId20">
                            <a:extLst>
                              <a:ext uri="{28A0092B-C50C-407E-A947-70E740481C1C}">
                                <a14:useLocalDpi xmlns:a14="http://schemas.microsoft.com/office/drawing/2010/main" val="0"/>
                              </a:ext>
                            </a:extLst>
                          </a:blip>
                          <a:stretch>
                            <a:fillRect/>
                          </a:stretch>
                        </pic:blipFill>
                        <pic:spPr>
                          <a:xfrm>
                            <a:off x="0" y="0"/>
                            <a:ext cx="2280285" cy="1969135"/>
                          </a:xfrm>
                          <a:prstGeom prst="rect">
                            <a:avLst/>
                          </a:prstGeom>
                        </pic:spPr>
                      </pic:pic>
                    </a:graphicData>
                  </a:graphic>
                </wp:inline>
              </w:drawing>
            </w:r>
          </w:p>
        </w:tc>
      </w:tr>
      <w:tr w:rsidRPr="00F73C9B" w:rsidR="009B4FF6" w:rsidTr="006569D0" w14:paraId="78CEB1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0" w:type="dxa"/>
          </w:tcPr>
          <w:p w:rsidRPr="00F73C9B" w:rsidR="009B4FF6" w:rsidP="006569D0" w:rsidRDefault="009B4FF6" w14:paraId="0E99E3A5" w14:textId="77777777">
            <w:pPr>
              <w:rPr>
                <w:rFonts w:asciiTheme="minorHAnsi" w:hAnsiTheme="minorHAnsi"/>
              </w:rPr>
            </w:pPr>
            <w:r w:rsidRPr="00F73C9B">
              <w:rPr>
                <w:rFonts w:asciiTheme="minorHAnsi" w:hAnsiTheme="minorHAnsi"/>
              </w:rPr>
              <w:t>Remediation Advice</w:t>
            </w:r>
          </w:p>
        </w:tc>
        <w:tc>
          <w:tcPr>
            <w:tcW w:w="7225" w:type="dxa"/>
            <w:gridSpan w:val="2"/>
          </w:tcPr>
          <w:p w:rsidRPr="00F73C9B" w:rsidR="009B4FF6" w:rsidP="006569D0" w:rsidRDefault="009B4FF6" w14:paraId="40BEF520"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73C9B">
              <w:rPr>
                <w:rFonts w:asciiTheme="minorHAnsi" w:hAnsiTheme="minorHAnsi"/>
              </w:rPr>
              <w:t xml:space="preserve">Ensure all links have screen reader only text that accurately describes the purpose of each link. </w:t>
            </w:r>
          </w:p>
        </w:tc>
      </w:tr>
      <w:tr w:rsidRPr="00F73C9B" w:rsidR="009B4FF6" w:rsidTr="006569D0" w14:paraId="5B0F7257" w14:textId="77777777">
        <w:tc>
          <w:tcPr>
            <w:cnfStyle w:val="001000000000" w:firstRow="0" w:lastRow="0" w:firstColumn="1" w:lastColumn="0" w:oddVBand="0" w:evenVBand="0" w:oddHBand="0" w:evenHBand="0" w:firstRowFirstColumn="0" w:firstRowLastColumn="0" w:lastRowFirstColumn="0" w:lastRowLastColumn="0"/>
            <w:tcW w:w="2630" w:type="dxa"/>
          </w:tcPr>
          <w:p w:rsidRPr="00F73C9B" w:rsidR="009B4FF6" w:rsidP="006569D0" w:rsidRDefault="009B4FF6" w14:paraId="2C842181" w14:textId="77777777">
            <w:pPr>
              <w:rPr>
                <w:rFonts w:asciiTheme="minorHAnsi" w:hAnsiTheme="minorHAnsi"/>
              </w:rPr>
            </w:pPr>
            <w:r w:rsidRPr="00F73C9B">
              <w:rPr>
                <w:rFonts w:asciiTheme="minorHAnsi" w:hAnsiTheme="minorHAnsi"/>
              </w:rPr>
              <w:t>Selection Criteria Impacted</w:t>
            </w:r>
          </w:p>
        </w:tc>
        <w:tc>
          <w:tcPr>
            <w:tcW w:w="7225" w:type="dxa"/>
            <w:gridSpan w:val="2"/>
          </w:tcPr>
          <w:p w:rsidRPr="00F73C9B" w:rsidR="009B4FF6" w:rsidP="006569D0" w:rsidRDefault="009B4FF6" w14:paraId="640626E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73C9B">
              <w:rPr>
                <w:rFonts w:asciiTheme="minorHAnsi" w:hAnsiTheme="minorHAnsi"/>
              </w:rPr>
              <w:t>1.1.1: Non text content, 2.4.4: Link purpose (in context)</w:t>
            </w:r>
          </w:p>
        </w:tc>
      </w:tr>
    </w:tbl>
    <w:p w:rsidR="009B4FF6" w:rsidRDefault="009B4FF6" w14:paraId="3E11C3A1" w14:textId="73DD6D23">
      <w:pPr>
        <w:spacing w:after="160" w:line="259" w:lineRule="auto"/>
      </w:pPr>
    </w:p>
    <w:tbl>
      <w:tblPr>
        <w:tblStyle w:val="ListTable3-Accent1"/>
        <w:tblW w:w="0" w:type="auto"/>
        <w:tblLook w:val="04A0" w:firstRow="1" w:lastRow="0" w:firstColumn="1" w:lastColumn="0" w:noHBand="0" w:noVBand="1"/>
      </w:tblPr>
      <w:tblGrid>
        <w:gridCol w:w="2609"/>
        <w:gridCol w:w="2318"/>
        <w:gridCol w:w="4928"/>
      </w:tblGrid>
      <w:tr w:rsidRPr="006D229A" w:rsidR="009B4FF6" w:rsidTr="006569D0" w14:paraId="4A51F89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27" w:type="dxa"/>
            <w:gridSpan w:val="2"/>
          </w:tcPr>
          <w:p w:rsidRPr="006D229A" w:rsidR="009B4FF6" w:rsidP="006569D0" w:rsidRDefault="009B4FF6" w14:paraId="4A8ADA65" w14:textId="77777777">
            <w:pPr>
              <w:rPr>
                <w:sz w:val="24"/>
                <w:szCs w:val="24"/>
              </w:rPr>
            </w:pPr>
            <w:r w:rsidRPr="006D229A">
              <w:rPr>
                <w:rFonts w:asciiTheme="minorHAnsi" w:hAnsiTheme="minorHAnsi"/>
                <w:color w:val="auto"/>
                <w:sz w:val="24"/>
                <w:szCs w:val="24"/>
              </w:rPr>
              <w:lastRenderedPageBreak/>
              <w:t>Theme 11 – Text Spacing</w:t>
            </w:r>
          </w:p>
        </w:tc>
        <w:tc>
          <w:tcPr>
            <w:tcW w:w="4928" w:type="dxa"/>
          </w:tcPr>
          <w:p w:rsidRPr="006D229A" w:rsidR="009B4FF6" w:rsidP="006569D0" w:rsidRDefault="009B4FF6" w14:paraId="4BE9258A"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p>
        </w:tc>
      </w:tr>
      <w:tr w:rsidRPr="006D229A" w:rsidR="009B4FF6" w:rsidTr="006569D0" w14:paraId="1AE88C2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rsidRPr="006D229A" w:rsidR="009B4FF6" w:rsidP="006569D0" w:rsidRDefault="009B4FF6" w14:paraId="45BADAC7" w14:textId="77777777">
            <w:pPr>
              <w:rPr>
                <w:rFonts w:asciiTheme="minorHAnsi" w:hAnsiTheme="minorHAnsi"/>
              </w:rPr>
            </w:pPr>
            <w:r w:rsidRPr="006D229A">
              <w:rPr>
                <w:rFonts w:asciiTheme="minorHAnsi" w:hAnsiTheme="minorHAnsi"/>
              </w:rPr>
              <w:t>Severity</w:t>
            </w:r>
          </w:p>
        </w:tc>
        <w:tc>
          <w:tcPr>
            <w:tcW w:w="7246" w:type="dxa"/>
            <w:gridSpan w:val="2"/>
          </w:tcPr>
          <w:p w:rsidRPr="006D229A" w:rsidR="009B4FF6" w:rsidP="006569D0" w:rsidRDefault="009B4FF6" w14:paraId="2C67CBED"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 xml:space="preserve">Medium </w:t>
            </w:r>
          </w:p>
          <w:p w:rsidRPr="006D229A" w:rsidR="009B4FF6" w:rsidP="006569D0" w:rsidRDefault="009B4FF6" w14:paraId="25070F74"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Content spacing must meet WCAG criteria to ensure user has a good experience. If text is too tight this will be a problem for dyslexic users.</w:t>
            </w:r>
          </w:p>
        </w:tc>
      </w:tr>
      <w:tr w:rsidRPr="006D229A" w:rsidR="009B4FF6" w:rsidTr="006569D0" w14:paraId="24B01038" w14:textId="77777777">
        <w:tc>
          <w:tcPr>
            <w:cnfStyle w:val="001000000000" w:firstRow="0" w:lastRow="0" w:firstColumn="1" w:lastColumn="0" w:oddVBand="0" w:evenVBand="0" w:oddHBand="0" w:evenHBand="0" w:firstRowFirstColumn="0" w:firstRowLastColumn="0" w:lastRowFirstColumn="0" w:lastRowLastColumn="0"/>
            <w:tcW w:w="2609" w:type="dxa"/>
          </w:tcPr>
          <w:p w:rsidRPr="006D229A" w:rsidR="009B4FF6" w:rsidP="006569D0" w:rsidRDefault="009B4FF6" w14:paraId="665500FD" w14:textId="77777777">
            <w:pPr>
              <w:rPr>
                <w:rFonts w:asciiTheme="minorHAnsi" w:hAnsiTheme="minorHAnsi"/>
              </w:rPr>
            </w:pPr>
            <w:r w:rsidRPr="006D229A">
              <w:rPr>
                <w:rFonts w:asciiTheme="minorHAnsi" w:hAnsiTheme="minorHAnsi"/>
              </w:rPr>
              <w:t>Flows, Screens, and devices effected</w:t>
            </w:r>
          </w:p>
        </w:tc>
        <w:tc>
          <w:tcPr>
            <w:tcW w:w="7246" w:type="dxa"/>
            <w:gridSpan w:val="2"/>
          </w:tcPr>
          <w:p w:rsidRPr="006D229A" w:rsidR="009B4FF6" w:rsidP="006569D0" w:rsidRDefault="009B4FF6" w14:paraId="6613E7C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All, flows, all pages, all devices</w:t>
            </w:r>
          </w:p>
        </w:tc>
      </w:tr>
      <w:tr w:rsidRPr="006D229A" w:rsidR="009B4FF6" w:rsidTr="006569D0" w14:paraId="366E06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rsidRPr="006D229A" w:rsidR="009B4FF6" w:rsidP="006569D0" w:rsidRDefault="009B4FF6" w14:paraId="116AF409" w14:textId="77777777">
            <w:pPr>
              <w:rPr>
                <w:rFonts w:asciiTheme="minorHAnsi" w:hAnsiTheme="minorHAnsi"/>
              </w:rPr>
            </w:pPr>
            <w:r w:rsidRPr="006D229A">
              <w:rPr>
                <w:rFonts w:asciiTheme="minorHAnsi" w:hAnsiTheme="minorHAnsi"/>
              </w:rPr>
              <w:t>Issue Description</w:t>
            </w:r>
          </w:p>
        </w:tc>
        <w:tc>
          <w:tcPr>
            <w:tcW w:w="7246" w:type="dxa"/>
            <w:gridSpan w:val="2"/>
          </w:tcPr>
          <w:p w:rsidRPr="006D229A" w:rsidR="009B4FF6" w:rsidP="006569D0" w:rsidRDefault="009B4FF6" w14:paraId="4F20BFE1"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Best practice reminder – it is unclear if content is readable and operable when users override author specified text spacing.</w:t>
            </w:r>
          </w:p>
        </w:tc>
      </w:tr>
      <w:tr w:rsidRPr="006D229A" w:rsidR="009B4FF6" w:rsidTr="006569D0" w14:paraId="7B6B642A" w14:textId="77777777">
        <w:tc>
          <w:tcPr>
            <w:cnfStyle w:val="001000000000" w:firstRow="0" w:lastRow="0" w:firstColumn="1" w:lastColumn="0" w:oddVBand="0" w:evenVBand="0" w:oddHBand="0" w:evenHBand="0" w:firstRowFirstColumn="0" w:firstRowLastColumn="0" w:lastRowFirstColumn="0" w:lastRowLastColumn="0"/>
            <w:tcW w:w="2609" w:type="dxa"/>
          </w:tcPr>
          <w:p w:rsidRPr="006D229A" w:rsidR="009B4FF6" w:rsidP="006569D0" w:rsidRDefault="009B4FF6" w14:paraId="360CE3C1" w14:textId="77777777">
            <w:pPr>
              <w:rPr>
                <w:rFonts w:asciiTheme="minorHAnsi" w:hAnsiTheme="minorHAnsi"/>
              </w:rPr>
            </w:pPr>
            <w:r w:rsidRPr="006D229A">
              <w:rPr>
                <w:rFonts w:asciiTheme="minorHAnsi" w:hAnsiTheme="minorHAnsi"/>
              </w:rPr>
              <w:t>Screen Capture</w:t>
            </w:r>
          </w:p>
        </w:tc>
        <w:tc>
          <w:tcPr>
            <w:tcW w:w="7246" w:type="dxa"/>
            <w:gridSpan w:val="2"/>
          </w:tcPr>
          <w:p w:rsidRPr="006D229A" w:rsidR="009B4FF6" w:rsidP="006569D0" w:rsidRDefault="009B4FF6" w14:paraId="278A304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NA</w:t>
            </w:r>
          </w:p>
        </w:tc>
      </w:tr>
      <w:tr w:rsidRPr="006D229A" w:rsidR="009B4FF6" w:rsidTr="006569D0" w14:paraId="1F0810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rsidRPr="006D229A" w:rsidR="009B4FF6" w:rsidP="006569D0" w:rsidRDefault="009B4FF6" w14:paraId="61EEA4EE" w14:textId="77777777">
            <w:pPr>
              <w:rPr>
                <w:rFonts w:asciiTheme="minorHAnsi" w:hAnsiTheme="minorHAnsi"/>
              </w:rPr>
            </w:pPr>
            <w:r w:rsidRPr="006D229A">
              <w:rPr>
                <w:rFonts w:asciiTheme="minorHAnsi" w:hAnsiTheme="minorHAnsi"/>
              </w:rPr>
              <w:t>Remediation Advice</w:t>
            </w:r>
          </w:p>
        </w:tc>
        <w:tc>
          <w:tcPr>
            <w:tcW w:w="7246" w:type="dxa"/>
            <w:gridSpan w:val="2"/>
          </w:tcPr>
          <w:p w:rsidRPr="006D229A" w:rsidR="009B4FF6" w:rsidP="006569D0" w:rsidRDefault="009B4FF6" w14:paraId="1B3A1A1A"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Ensure that loss of content or functionality does not occur when the user adapts paragraph spacing to 2 times the font size, text line height/spacing to 1.5 times the font size, word spacing to .16 times the font size, and letter spacing to .12 times the font size.</w:t>
            </w:r>
          </w:p>
        </w:tc>
      </w:tr>
      <w:tr w:rsidRPr="006D229A" w:rsidR="009B4FF6" w:rsidTr="006569D0" w14:paraId="41BD516B" w14:textId="77777777">
        <w:tc>
          <w:tcPr>
            <w:cnfStyle w:val="001000000000" w:firstRow="0" w:lastRow="0" w:firstColumn="1" w:lastColumn="0" w:oddVBand="0" w:evenVBand="0" w:oddHBand="0" w:evenHBand="0" w:firstRowFirstColumn="0" w:firstRowLastColumn="0" w:lastRowFirstColumn="0" w:lastRowLastColumn="0"/>
            <w:tcW w:w="2609" w:type="dxa"/>
          </w:tcPr>
          <w:p w:rsidRPr="006D229A" w:rsidR="009B4FF6" w:rsidP="006569D0" w:rsidRDefault="009B4FF6" w14:paraId="136F67B6" w14:textId="77777777">
            <w:pPr>
              <w:rPr>
                <w:rFonts w:asciiTheme="minorHAnsi" w:hAnsiTheme="minorHAnsi"/>
              </w:rPr>
            </w:pPr>
            <w:r w:rsidRPr="006D229A">
              <w:rPr>
                <w:rFonts w:asciiTheme="minorHAnsi" w:hAnsiTheme="minorHAnsi"/>
              </w:rPr>
              <w:t>Selection Criteria Impacted</w:t>
            </w:r>
          </w:p>
        </w:tc>
        <w:tc>
          <w:tcPr>
            <w:tcW w:w="7246" w:type="dxa"/>
            <w:gridSpan w:val="2"/>
          </w:tcPr>
          <w:p w:rsidRPr="006D229A" w:rsidR="009B4FF6" w:rsidP="006569D0" w:rsidRDefault="009B4FF6" w14:paraId="33EA61F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1.4.12 Text spacing</w:t>
            </w:r>
            <w:r w:rsidRPr="006D229A">
              <w:rPr>
                <w:rFonts w:asciiTheme="minorHAnsi" w:hAnsiTheme="minorHAnsi"/>
              </w:rPr>
              <w:br/>
            </w:r>
            <w:hyperlink r:id="rId21">
              <w:r w:rsidRPr="006D229A">
                <w:rPr>
                  <w:rStyle w:val="Hyperlink"/>
                  <w:rFonts w:asciiTheme="minorHAnsi" w:hAnsiTheme="minorHAnsi"/>
                  <w:color w:val="auto"/>
                </w:rPr>
                <w:t>https://www.w3.org/WAI/WCAG21/Understanding/text-spacing.html</w:t>
              </w:r>
            </w:hyperlink>
          </w:p>
        </w:tc>
      </w:tr>
    </w:tbl>
    <w:p w:rsidRPr="006D229A" w:rsidR="009B4FF6" w:rsidP="009B4FF6" w:rsidRDefault="009B4FF6" w14:paraId="16E9460C" w14:textId="77777777">
      <w:pPr>
        <w:rPr>
          <w:rFonts w:eastAsia="Georgia"/>
          <w:lang w:eastAsia="en-AU"/>
        </w:rPr>
      </w:pPr>
    </w:p>
    <w:p w:rsidRPr="006D229A" w:rsidR="009B4FF6" w:rsidP="009B4FF6" w:rsidRDefault="009B4FF6" w14:paraId="51458FAC" w14:textId="56EDA1D1">
      <w:pPr>
        <w:rPr>
          <w:rFonts w:eastAsia="Georgia"/>
          <w:snapToGrid w:val="0"/>
          <w:lang w:val="en-AU" w:eastAsia="en-AU"/>
        </w:rPr>
      </w:pPr>
    </w:p>
    <w:tbl>
      <w:tblPr>
        <w:tblStyle w:val="ListTable3-Accent1"/>
        <w:tblW w:w="0" w:type="auto"/>
        <w:tblLook w:val="04A0" w:firstRow="1" w:lastRow="0" w:firstColumn="1" w:lastColumn="0" w:noHBand="0" w:noVBand="1"/>
      </w:tblPr>
      <w:tblGrid>
        <w:gridCol w:w="2609"/>
        <w:gridCol w:w="2318"/>
        <w:gridCol w:w="4928"/>
      </w:tblGrid>
      <w:tr w:rsidRPr="006D229A" w:rsidR="009B4FF6" w:rsidTr="006569D0" w14:paraId="66EB7B90"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27" w:type="dxa"/>
            <w:gridSpan w:val="2"/>
          </w:tcPr>
          <w:p w:rsidRPr="006D229A" w:rsidR="009B4FF6" w:rsidP="006569D0" w:rsidRDefault="009B4FF6" w14:paraId="74A58B87" w14:textId="77777777">
            <w:pPr>
              <w:rPr>
                <w:sz w:val="24"/>
                <w:szCs w:val="24"/>
              </w:rPr>
            </w:pPr>
            <w:r w:rsidRPr="006D229A">
              <w:rPr>
                <w:rFonts w:asciiTheme="minorHAnsi" w:hAnsiTheme="minorHAnsi"/>
                <w:color w:val="auto"/>
                <w:sz w:val="24"/>
                <w:szCs w:val="24"/>
              </w:rPr>
              <w:t>Theme 12 – Heading Hierarchy</w:t>
            </w:r>
          </w:p>
        </w:tc>
        <w:tc>
          <w:tcPr>
            <w:tcW w:w="4928" w:type="dxa"/>
          </w:tcPr>
          <w:p w:rsidRPr="006D229A" w:rsidR="009B4FF6" w:rsidP="006569D0" w:rsidRDefault="009B4FF6" w14:paraId="0DE6B647"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p>
        </w:tc>
      </w:tr>
      <w:tr w:rsidRPr="006D229A" w:rsidR="009B4FF6" w:rsidTr="006569D0" w14:paraId="52A759E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rsidRPr="006D229A" w:rsidR="009B4FF6" w:rsidP="006569D0" w:rsidRDefault="009B4FF6" w14:paraId="72F01EDF" w14:textId="77777777">
            <w:pPr>
              <w:rPr>
                <w:rFonts w:asciiTheme="minorHAnsi" w:hAnsiTheme="minorHAnsi"/>
              </w:rPr>
            </w:pPr>
            <w:r w:rsidRPr="006D229A">
              <w:rPr>
                <w:rFonts w:asciiTheme="minorHAnsi" w:hAnsiTheme="minorHAnsi"/>
              </w:rPr>
              <w:t>Severity</w:t>
            </w:r>
          </w:p>
        </w:tc>
        <w:tc>
          <w:tcPr>
            <w:tcW w:w="7246" w:type="dxa"/>
            <w:gridSpan w:val="2"/>
          </w:tcPr>
          <w:p w:rsidRPr="006D229A" w:rsidR="009B4FF6" w:rsidP="006569D0" w:rsidRDefault="009B4FF6" w14:paraId="00DD4FDF"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High (due to number of potential occurrences).</w:t>
            </w:r>
          </w:p>
          <w:p w:rsidRPr="006D229A" w:rsidR="009B4FF6" w:rsidP="006569D0" w:rsidRDefault="009B4FF6" w14:paraId="454DBF0E"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 xml:space="preserve">It must be clear that heading hierarchy is correct. If not correct the main content loses context. Heading structure assists in conveying information about the relationship of information. </w:t>
            </w:r>
          </w:p>
        </w:tc>
      </w:tr>
      <w:tr w:rsidRPr="006D229A" w:rsidR="009B4FF6" w:rsidTr="006569D0" w14:paraId="33CBF553" w14:textId="77777777">
        <w:tc>
          <w:tcPr>
            <w:cnfStyle w:val="001000000000" w:firstRow="0" w:lastRow="0" w:firstColumn="1" w:lastColumn="0" w:oddVBand="0" w:evenVBand="0" w:oddHBand="0" w:evenHBand="0" w:firstRowFirstColumn="0" w:firstRowLastColumn="0" w:lastRowFirstColumn="0" w:lastRowLastColumn="0"/>
            <w:tcW w:w="2609" w:type="dxa"/>
          </w:tcPr>
          <w:p w:rsidRPr="006D229A" w:rsidR="009B4FF6" w:rsidP="006569D0" w:rsidRDefault="009B4FF6" w14:paraId="79309B60" w14:textId="77777777">
            <w:pPr>
              <w:rPr>
                <w:rFonts w:asciiTheme="minorHAnsi" w:hAnsiTheme="minorHAnsi"/>
              </w:rPr>
            </w:pPr>
            <w:r w:rsidRPr="006D229A">
              <w:rPr>
                <w:rFonts w:asciiTheme="minorHAnsi" w:hAnsiTheme="minorHAnsi"/>
              </w:rPr>
              <w:t>Flows, Screens, and devices effected</w:t>
            </w:r>
          </w:p>
        </w:tc>
        <w:tc>
          <w:tcPr>
            <w:tcW w:w="7246" w:type="dxa"/>
            <w:gridSpan w:val="2"/>
          </w:tcPr>
          <w:p w:rsidRPr="006D229A" w:rsidR="009B4FF6" w:rsidP="006569D0" w:rsidRDefault="009B4FF6" w14:paraId="58C5B55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All flows, all pages, all devices</w:t>
            </w:r>
          </w:p>
        </w:tc>
      </w:tr>
      <w:tr w:rsidRPr="006D229A" w:rsidR="009B4FF6" w:rsidTr="006569D0" w14:paraId="77D211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rsidRPr="006D229A" w:rsidR="009B4FF6" w:rsidP="006569D0" w:rsidRDefault="009B4FF6" w14:paraId="328F35A3" w14:textId="77777777">
            <w:pPr>
              <w:rPr>
                <w:rFonts w:asciiTheme="minorHAnsi" w:hAnsiTheme="minorHAnsi"/>
              </w:rPr>
            </w:pPr>
            <w:r w:rsidRPr="006D229A">
              <w:rPr>
                <w:rFonts w:asciiTheme="minorHAnsi" w:hAnsiTheme="minorHAnsi"/>
              </w:rPr>
              <w:t>Issue Description</w:t>
            </w:r>
          </w:p>
        </w:tc>
        <w:tc>
          <w:tcPr>
            <w:tcW w:w="7246" w:type="dxa"/>
            <w:gridSpan w:val="2"/>
          </w:tcPr>
          <w:p w:rsidRPr="006D229A" w:rsidR="009B4FF6" w:rsidP="006569D0" w:rsidRDefault="009B4FF6" w14:paraId="3B0988CE"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 xml:space="preserve">Current issue – it is unclear if heading hierarchy is being followed. </w:t>
            </w:r>
          </w:p>
        </w:tc>
      </w:tr>
      <w:tr w:rsidRPr="006D229A" w:rsidR="009B4FF6" w:rsidTr="006569D0" w14:paraId="43E54DB0" w14:textId="77777777">
        <w:tc>
          <w:tcPr>
            <w:cnfStyle w:val="001000000000" w:firstRow="0" w:lastRow="0" w:firstColumn="1" w:lastColumn="0" w:oddVBand="0" w:evenVBand="0" w:oddHBand="0" w:evenHBand="0" w:firstRowFirstColumn="0" w:firstRowLastColumn="0" w:lastRowFirstColumn="0" w:lastRowLastColumn="0"/>
            <w:tcW w:w="2609" w:type="dxa"/>
          </w:tcPr>
          <w:p w:rsidRPr="006D229A" w:rsidR="009B4FF6" w:rsidP="006569D0" w:rsidRDefault="009B4FF6" w14:paraId="50F4D8C6" w14:textId="77777777">
            <w:pPr>
              <w:rPr>
                <w:rFonts w:asciiTheme="minorHAnsi" w:hAnsiTheme="minorHAnsi"/>
              </w:rPr>
            </w:pPr>
            <w:r w:rsidRPr="006D229A">
              <w:rPr>
                <w:rFonts w:asciiTheme="minorHAnsi" w:hAnsiTheme="minorHAnsi"/>
              </w:rPr>
              <w:t>Screen Capture</w:t>
            </w:r>
          </w:p>
        </w:tc>
        <w:tc>
          <w:tcPr>
            <w:tcW w:w="7246" w:type="dxa"/>
            <w:gridSpan w:val="2"/>
          </w:tcPr>
          <w:p w:rsidRPr="006D229A" w:rsidR="009B4FF6" w:rsidP="006569D0" w:rsidRDefault="009B4FF6" w14:paraId="5C2CF5F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NA</w:t>
            </w:r>
          </w:p>
        </w:tc>
      </w:tr>
      <w:tr w:rsidRPr="006D229A" w:rsidR="009B4FF6" w:rsidTr="006569D0" w14:paraId="5CF2412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rsidRPr="006D229A" w:rsidR="009B4FF6" w:rsidP="006569D0" w:rsidRDefault="009B4FF6" w14:paraId="4EE238EC" w14:textId="77777777">
            <w:pPr>
              <w:rPr>
                <w:rFonts w:asciiTheme="minorHAnsi" w:hAnsiTheme="minorHAnsi"/>
              </w:rPr>
            </w:pPr>
            <w:r w:rsidRPr="006D229A">
              <w:rPr>
                <w:rFonts w:asciiTheme="minorHAnsi" w:hAnsiTheme="minorHAnsi"/>
              </w:rPr>
              <w:t>Remediation Advice</w:t>
            </w:r>
          </w:p>
        </w:tc>
        <w:tc>
          <w:tcPr>
            <w:tcW w:w="7246" w:type="dxa"/>
            <w:gridSpan w:val="2"/>
          </w:tcPr>
          <w:p w:rsidRPr="006D229A" w:rsidR="009B4FF6" w:rsidP="006569D0" w:rsidRDefault="009B4FF6" w14:paraId="57AE835C"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D229A">
              <w:rPr>
                <w:rFonts w:asciiTheme="minorHAnsi" w:hAnsiTheme="minorHAnsi"/>
              </w:rPr>
              <w:t xml:space="preserve">Make sure Hierarchy of headings &lt;h1&gt; to &lt;h6&gt; is being followed as per the structure and relationship requirements. </w:t>
            </w:r>
          </w:p>
        </w:tc>
      </w:tr>
      <w:tr w:rsidRPr="006D229A" w:rsidR="009B4FF6" w:rsidTr="006569D0" w14:paraId="3D128990" w14:textId="77777777">
        <w:tc>
          <w:tcPr>
            <w:cnfStyle w:val="001000000000" w:firstRow="0" w:lastRow="0" w:firstColumn="1" w:lastColumn="0" w:oddVBand="0" w:evenVBand="0" w:oddHBand="0" w:evenHBand="0" w:firstRowFirstColumn="0" w:firstRowLastColumn="0" w:lastRowFirstColumn="0" w:lastRowLastColumn="0"/>
            <w:tcW w:w="2609" w:type="dxa"/>
          </w:tcPr>
          <w:p w:rsidRPr="006D229A" w:rsidR="009B4FF6" w:rsidP="006569D0" w:rsidRDefault="009B4FF6" w14:paraId="54BA621D" w14:textId="77777777">
            <w:pPr>
              <w:rPr>
                <w:rFonts w:asciiTheme="minorHAnsi" w:hAnsiTheme="minorHAnsi"/>
              </w:rPr>
            </w:pPr>
            <w:r w:rsidRPr="006D229A">
              <w:rPr>
                <w:rFonts w:asciiTheme="minorHAnsi" w:hAnsiTheme="minorHAnsi"/>
              </w:rPr>
              <w:t>Selection Criteria Impacted</w:t>
            </w:r>
          </w:p>
        </w:tc>
        <w:tc>
          <w:tcPr>
            <w:tcW w:w="7246" w:type="dxa"/>
            <w:gridSpan w:val="2"/>
          </w:tcPr>
          <w:p w:rsidRPr="006D229A" w:rsidR="009B4FF6" w:rsidP="006569D0" w:rsidRDefault="009B4FF6" w14:paraId="0D52D06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D229A">
              <w:rPr>
                <w:rFonts w:asciiTheme="minorHAnsi" w:hAnsiTheme="minorHAnsi"/>
              </w:rPr>
              <w:t>1.3.1 Info and relationships</w:t>
            </w:r>
            <w:r w:rsidRPr="006D229A">
              <w:rPr>
                <w:rFonts w:asciiTheme="minorHAnsi" w:hAnsiTheme="minorHAnsi"/>
              </w:rPr>
              <w:br/>
            </w:r>
            <w:hyperlink r:id="rId22">
              <w:r w:rsidRPr="006D229A">
                <w:rPr>
                  <w:rStyle w:val="Hyperlink"/>
                  <w:rFonts w:asciiTheme="minorHAnsi" w:hAnsiTheme="minorHAnsi"/>
                  <w:color w:val="auto"/>
                </w:rPr>
                <w:t>https://www.w3.org/WAI/WCAG21/Understanding/info-and-relationships</w:t>
              </w:r>
            </w:hyperlink>
          </w:p>
        </w:tc>
      </w:tr>
    </w:tbl>
    <w:p w:rsidRPr="006D229A" w:rsidR="009B4FF6" w:rsidP="009B4FF6" w:rsidRDefault="009B4FF6" w14:paraId="0E30FB7A" w14:textId="68459A83">
      <w:pPr>
        <w:rPr>
          <w:rFonts w:eastAsia="Georgia"/>
          <w:snapToGrid w:val="0"/>
          <w:lang w:val="en-AU" w:eastAsia="en-AU"/>
        </w:rPr>
      </w:pPr>
    </w:p>
    <w:p w:rsidR="00F73C9B" w:rsidRDefault="00F73C9B" w14:paraId="024337EF" w14:textId="7565A8E9">
      <w:pPr>
        <w:spacing w:after="160" w:line="259" w:lineRule="auto"/>
      </w:pPr>
    </w:p>
    <w:p w:rsidR="009B4FF6" w:rsidRDefault="009B4FF6" w14:paraId="580DF89D" w14:textId="2B07968C">
      <w:pPr>
        <w:spacing w:after="160" w:line="259" w:lineRule="auto"/>
      </w:pPr>
    </w:p>
    <w:p w:rsidR="009B4FF6" w:rsidRDefault="009B4FF6" w14:paraId="5D2747D5" w14:textId="0FDD43B3">
      <w:pPr>
        <w:spacing w:after="160" w:line="259" w:lineRule="auto"/>
      </w:pPr>
    </w:p>
    <w:p w:rsidR="009B4FF6" w:rsidRDefault="009B4FF6" w14:paraId="367ADB55" w14:textId="214E413E">
      <w:pPr>
        <w:spacing w:after="160" w:line="259" w:lineRule="auto"/>
      </w:pPr>
    </w:p>
    <w:p w:rsidR="009B4FF6" w:rsidRDefault="009B4FF6" w14:paraId="5229A650" w14:textId="25189138">
      <w:pPr>
        <w:spacing w:after="160" w:line="259" w:lineRule="auto"/>
      </w:pPr>
    </w:p>
    <w:p w:rsidR="009B4FF6" w:rsidRDefault="009B4FF6" w14:paraId="3A87E26B" w14:textId="346DE3CC">
      <w:pPr>
        <w:spacing w:after="160" w:line="259" w:lineRule="auto"/>
      </w:pPr>
    </w:p>
    <w:p w:rsidR="009B4FF6" w:rsidRDefault="009B4FF6" w14:paraId="76C8CAE5" w14:textId="6902D120">
      <w:pPr>
        <w:spacing w:after="160" w:line="259" w:lineRule="auto"/>
      </w:pPr>
    </w:p>
    <w:p w:rsidR="009B4FF6" w:rsidRDefault="009B4FF6" w14:paraId="2C1DB887" w14:textId="24B236EF">
      <w:pPr>
        <w:spacing w:after="160" w:line="259" w:lineRule="auto"/>
      </w:pPr>
    </w:p>
    <w:p w:rsidR="009B4FF6" w:rsidRDefault="009B4FF6" w14:paraId="63F2224C" w14:textId="562B0F1A">
      <w:pPr>
        <w:spacing w:after="160" w:line="259" w:lineRule="auto"/>
      </w:pPr>
    </w:p>
    <w:p w:rsidR="009B4FF6" w:rsidRDefault="009B4FF6" w14:paraId="4CEF4A90" w14:textId="77777777">
      <w:pPr>
        <w:spacing w:after="160" w:line="259" w:lineRule="auto"/>
      </w:pPr>
    </w:p>
    <w:p w:rsidRPr="001040BF" w:rsidR="00CA1361" w:rsidP="009F007B" w:rsidRDefault="009F007B" w14:paraId="037C0FCD" w14:textId="281C1206">
      <w:pPr>
        <w:pStyle w:val="Heading1"/>
      </w:pPr>
      <w:bookmarkStart w:name="_Toc115693172" w:id="13"/>
      <w:r>
        <w:lastRenderedPageBreak/>
        <w:t>4</w:t>
      </w:r>
      <w:r>
        <w:tab/>
      </w:r>
      <w:r w:rsidRPr="001040BF" w:rsidR="00CA1361">
        <w:t>CX Data Standards Review</w:t>
      </w:r>
      <w:bookmarkEnd w:id="13"/>
    </w:p>
    <w:p w:rsidR="00CA1361" w:rsidP="009F007B" w:rsidRDefault="009F007B" w14:paraId="4976E0BF" w14:textId="3675FC6C">
      <w:pPr>
        <w:pStyle w:val="Heading2"/>
      </w:pPr>
      <w:r>
        <w:t>4.1</w:t>
      </w:r>
      <w:r>
        <w:tab/>
      </w:r>
      <w:r w:rsidR="00CA1361">
        <w:t>Context</w:t>
      </w:r>
    </w:p>
    <w:p w:rsidR="00CA1361" w:rsidP="001B0846" w:rsidRDefault="00CA1361" w14:paraId="7098DED8" w14:textId="77777777">
      <w:r>
        <w:t xml:space="preserve">The </w:t>
      </w:r>
      <w:r w:rsidRPr="00FF1154">
        <w:t xml:space="preserve">CX </w:t>
      </w:r>
      <w:r>
        <w:t xml:space="preserve">Data </w:t>
      </w:r>
      <w:r w:rsidRPr="00FF1154">
        <w:t xml:space="preserve">Standards have been created to </w:t>
      </w:r>
      <w:r w:rsidRPr="00E33B60">
        <w:t xml:space="preserve">help organisations provide CDR consumers with intuitive, informed, and trustworthy data sharing experiences </w:t>
      </w:r>
      <w:r>
        <w:t xml:space="preserve">The CX Data Standards contain requires implementations by both Data Recipients and Data Holders to comply with the following: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929"/>
        <w:gridCol w:w="4936"/>
      </w:tblGrid>
      <w:tr w:rsidR="00CA1361" w:rsidTr="00483F75" w14:paraId="2D0B28D0" w14:textId="77777777">
        <w:tc>
          <w:tcPr>
            <w:tcW w:w="5041" w:type="dxa"/>
          </w:tcPr>
          <w:p w:rsidR="00CA1361" w:rsidP="001B0846" w:rsidRDefault="00CA1361" w14:paraId="33A9EE0B" w14:textId="77777777">
            <w:pPr>
              <w:pStyle w:val="Bulletpointdot"/>
            </w:pPr>
            <w:r>
              <w:t>Data language Standards: Common</w:t>
            </w:r>
          </w:p>
        </w:tc>
        <w:tc>
          <w:tcPr>
            <w:tcW w:w="5042" w:type="dxa"/>
          </w:tcPr>
          <w:p w:rsidR="00CA1361" w:rsidP="001B0846" w:rsidRDefault="00CA1361" w14:paraId="191DF34A" w14:textId="77777777">
            <w:pPr>
              <w:pStyle w:val="Bulletpointdot"/>
            </w:pPr>
            <w:r>
              <w:t xml:space="preserve">Authentication Standards </w:t>
            </w:r>
          </w:p>
        </w:tc>
      </w:tr>
      <w:tr w:rsidR="00CA1361" w:rsidTr="00483F75" w14:paraId="041681DE" w14:textId="77777777">
        <w:tc>
          <w:tcPr>
            <w:tcW w:w="5041" w:type="dxa"/>
          </w:tcPr>
          <w:p w:rsidR="00CA1361" w:rsidP="001B0846" w:rsidRDefault="00CA1361" w14:paraId="20297F9E" w14:textId="77777777">
            <w:pPr>
              <w:pStyle w:val="Bulletpointdot"/>
            </w:pPr>
            <w:r>
              <w:t xml:space="preserve">Profile Scope and Standard Claims </w:t>
            </w:r>
          </w:p>
        </w:tc>
        <w:tc>
          <w:tcPr>
            <w:tcW w:w="5042" w:type="dxa"/>
          </w:tcPr>
          <w:p w:rsidR="00CA1361" w:rsidP="001B0846" w:rsidRDefault="00CA1361" w14:paraId="731191E2" w14:textId="77777777">
            <w:pPr>
              <w:pStyle w:val="Bulletpointdot"/>
            </w:pPr>
            <w:r>
              <w:t xml:space="preserve">Authorisation Standards </w:t>
            </w:r>
          </w:p>
        </w:tc>
      </w:tr>
      <w:tr w:rsidR="00CA1361" w:rsidTr="00483F75" w14:paraId="4F73D477" w14:textId="77777777">
        <w:tc>
          <w:tcPr>
            <w:tcW w:w="5041" w:type="dxa"/>
          </w:tcPr>
          <w:p w:rsidR="00CA1361" w:rsidP="001B0846" w:rsidRDefault="00CA1361" w14:paraId="6E80D160" w14:textId="77777777">
            <w:pPr>
              <w:pStyle w:val="Bulletpointdot"/>
            </w:pPr>
            <w:r>
              <w:t xml:space="preserve">Banking Language </w:t>
            </w:r>
          </w:p>
        </w:tc>
        <w:tc>
          <w:tcPr>
            <w:tcW w:w="5042" w:type="dxa"/>
          </w:tcPr>
          <w:p w:rsidR="00CA1361" w:rsidP="001B0846" w:rsidRDefault="00CA1361" w14:paraId="5EED44C3" w14:textId="77777777">
            <w:pPr>
              <w:pStyle w:val="Bulletpointdot"/>
            </w:pPr>
            <w:r>
              <w:t xml:space="preserve">Amending Authorisation Standards </w:t>
            </w:r>
          </w:p>
        </w:tc>
      </w:tr>
      <w:tr w:rsidR="00CA1361" w:rsidTr="00483F75" w14:paraId="1EEBB24F" w14:textId="77777777">
        <w:tc>
          <w:tcPr>
            <w:tcW w:w="5041" w:type="dxa"/>
          </w:tcPr>
          <w:p w:rsidR="00CA1361" w:rsidP="001B0846" w:rsidRDefault="00CA1361" w14:paraId="29AABB17" w14:textId="77777777">
            <w:pPr>
              <w:pStyle w:val="Bulletpointdot"/>
            </w:pPr>
            <w:r>
              <w:t xml:space="preserve">Energy Language </w:t>
            </w:r>
          </w:p>
        </w:tc>
        <w:tc>
          <w:tcPr>
            <w:tcW w:w="5042" w:type="dxa"/>
          </w:tcPr>
          <w:p w:rsidR="00CA1361" w:rsidP="001B0846" w:rsidRDefault="00CA1361" w14:paraId="15D81D60" w14:textId="77777777">
            <w:pPr>
              <w:pStyle w:val="Bulletpointdot"/>
            </w:pPr>
            <w:r>
              <w:t xml:space="preserve">Notification Standards </w:t>
            </w:r>
          </w:p>
        </w:tc>
      </w:tr>
      <w:tr w:rsidR="00CA1361" w:rsidTr="00483F75" w14:paraId="56DEEBA8" w14:textId="77777777">
        <w:tc>
          <w:tcPr>
            <w:tcW w:w="5041" w:type="dxa"/>
          </w:tcPr>
          <w:p w:rsidR="00CA1361" w:rsidP="001B0846" w:rsidRDefault="00CA1361" w14:paraId="532450A6" w14:textId="77777777">
            <w:pPr>
              <w:pStyle w:val="Bulletpointdot"/>
            </w:pPr>
            <w:r>
              <w:t xml:space="preserve">Accessibility Standards </w:t>
            </w:r>
          </w:p>
        </w:tc>
        <w:tc>
          <w:tcPr>
            <w:tcW w:w="5042" w:type="dxa"/>
          </w:tcPr>
          <w:p w:rsidR="00CA1361" w:rsidP="001B0846" w:rsidRDefault="00CA1361" w14:paraId="3336C2E0" w14:textId="77777777">
            <w:pPr>
              <w:pStyle w:val="Bulletpointdot"/>
            </w:pPr>
            <w:r>
              <w:t xml:space="preserve">Withdrawal Standards </w:t>
            </w:r>
          </w:p>
        </w:tc>
      </w:tr>
      <w:tr w:rsidR="00CA1361" w:rsidTr="00483F75" w14:paraId="47929F1D" w14:textId="77777777">
        <w:tc>
          <w:tcPr>
            <w:tcW w:w="5041" w:type="dxa"/>
          </w:tcPr>
          <w:p w:rsidR="00CA1361" w:rsidP="001B0846" w:rsidRDefault="00CA1361" w14:paraId="41037588" w14:textId="77777777">
            <w:pPr>
              <w:pStyle w:val="Bulletpointdot"/>
            </w:pPr>
            <w:r>
              <w:t xml:space="preserve">Consent Standards </w:t>
            </w:r>
          </w:p>
        </w:tc>
        <w:tc>
          <w:tcPr>
            <w:tcW w:w="5042" w:type="dxa"/>
          </w:tcPr>
          <w:p w:rsidR="00CA1361" w:rsidP="001B0846" w:rsidRDefault="00CA1361" w14:paraId="3CC0B2A8" w14:textId="77777777">
            <w:pPr>
              <w:pStyle w:val="Bulletpointdot"/>
            </w:pPr>
          </w:p>
        </w:tc>
      </w:tr>
    </w:tbl>
    <w:p w:rsidR="00CA1361" w:rsidP="009F007B" w:rsidRDefault="009F007B" w14:paraId="5EEEEB55" w14:textId="00740990">
      <w:pPr>
        <w:pStyle w:val="Heading2"/>
      </w:pPr>
      <w:r>
        <w:t>4.2</w:t>
      </w:r>
      <w:r>
        <w:tab/>
      </w:r>
      <w:r w:rsidR="00CA1361">
        <w:t>Methodology</w:t>
      </w:r>
    </w:p>
    <w:p w:rsidR="00CA1361" w:rsidP="001B0846" w:rsidRDefault="00CA1361" w14:paraId="0EC706E1" w14:textId="77777777">
      <w:r>
        <w:t xml:space="preserve">The content of the CX Data Standards, and the Consumer Experience Principles, were reviewed in terms of: </w:t>
      </w:r>
    </w:p>
    <w:p w:rsidRPr="001B0846" w:rsidR="00CA1361" w:rsidP="001B0846" w:rsidRDefault="00CA1361" w14:paraId="045FA7E7" w14:textId="77777777">
      <w:pPr>
        <w:pStyle w:val="Bulletpointdot"/>
      </w:pPr>
      <w:r w:rsidRPr="001B0846">
        <w:t>Accessibility</w:t>
      </w:r>
    </w:p>
    <w:p w:rsidRPr="001B0846" w:rsidR="00CA1361" w:rsidP="001B0846" w:rsidRDefault="009F007B" w14:paraId="64B90B4D" w14:textId="1D680350">
      <w:pPr>
        <w:pStyle w:val="Bulletpointdot"/>
      </w:pPr>
      <w:r w:rsidRPr="001B0846">
        <w:t>R</w:t>
      </w:r>
      <w:r w:rsidRPr="001B0846" w:rsidR="00CA1361">
        <w:t xml:space="preserve">ecommendations contained within the CX Data Standards; and  </w:t>
      </w:r>
    </w:p>
    <w:p w:rsidR="00CA1361" w:rsidP="001B0846" w:rsidRDefault="00CA1361" w14:paraId="29F386A1" w14:textId="77777777">
      <w:pPr>
        <w:pStyle w:val="Bulletpointdot"/>
      </w:pPr>
      <w:r w:rsidRPr="001B0846">
        <w:t xml:space="preserve">The broader requirement </w:t>
      </w:r>
      <w:r>
        <w:t xml:space="preserve">of compliance with WCAG standards. </w:t>
      </w:r>
    </w:p>
    <w:p w:rsidR="00CA1361" w:rsidP="009F007B" w:rsidRDefault="009F007B" w14:paraId="7E80996A" w14:textId="3AB36B37">
      <w:pPr>
        <w:pStyle w:val="Heading2"/>
      </w:pPr>
      <w:r>
        <w:t>4.3</w:t>
      </w:r>
      <w:r>
        <w:tab/>
      </w:r>
      <w:r w:rsidR="00CA1361">
        <w:t>Limitations</w:t>
      </w:r>
    </w:p>
    <w:p w:rsidRPr="006D229A" w:rsidR="00CA1361" w:rsidP="000406C3" w:rsidRDefault="00CA1361" w14:paraId="268A69ED" w14:textId="77777777">
      <w:r>
        <w:t>Due to project timeline constraints, the CX Stand</w:t>
      </w:r>
      <w:r w:rsidRPr="006D229A">
        <w:t xml:space="preserve">ards were assessed on a stand-alone basis by reviewing the content documented on the </w:t>
      </w:r>
      <w:hyperlink w:history="1" w:anchor="consumer-experience" r:id="rId23">
        <w:r w:rsidRPr="006D229A">
          <w:t xml:space="preserve">Consumer Experience page from Data Standards </w:t>
        </w:r>
        <w:proofErr w:type="spellStart"/>
        <w:r w:rsidRPr="006D229A">
          <w:t>Github</w:t>
        </w:r>
        <w:proofErr w:type="spellEnd"/>
        <w:r w:rsidRPr="006D229A">
          <w:rPr>
            <w:rStyle w:val="Hyperlink"/>
            <w:color w:val="auto"/>
          </w:rPr>
          <w:t xml:space="preserve"> website.</w:t>
        </w:r>
      </w:hyperlink>
      <w:r w:rsidRPr="006D229A">
        <w:rPr>
          <w:rStyle w:val="Hyperlink"/>
          <w:color w:val="auto"/>
        </w:rPr>
        <w:t xml:space="preserve"> </w:t>
      </w:r>
      <w:r w:rsidRPr="006D229A">
        <w:t xml:space="preserve">While the CDR team has developed </w:t>
      </w:r>
      <w:hyperlink w:history="1" r:id="rId24">
        <w:r w:rsidRPr="006D229A">
          <w:rPr>
            <w:rStyle w:val="Hyperlink"/>
            <w:color w:val="auto"/>
          </w:rPr>
          <w:t>prototype wireframes</w:t>
        </w:r>
      </w:hyperlink>
      <w:r w:rsidRPr="006D229A">
        <w:t xml:space="preserve"> to demonstrate how the Standards are applied in a product, they were not included in the Standards Review. Accessibility is a consideration of the Data Standards, as it is mentioned in the Data Standards’ CX Principle 2: The CDR is Accessible and Inclusive.</w:t>
      </w:r>
    </w:p>
    <w:p w:rsidRPr="006D229A" w:rsidR="00CA1361" w:rsidP="000406C3" w:rsidRDefault="00CA1361" w14:paraId="270E6AA9" w14:textId="77777777">
      <w:r w:rsidRPr="006D229A">
        <w:t xml:space="preserve">The content and structure of the CX Data Standards on Accessibility, however, may inadvertently limit the capacity of CDR participants to deliver information and services that afford equal-access-of-use. </w:t>
      </w:r>
    </w:p>
    <w:p w:rsidRPr="006D229A" w:rsidR="00CA1361" w:rsidP="00CA1361" w:rsidRDefault="00CA1361" w14:paraId="6F1EACC2" w14:textId="77777777">
      <w:pPr>
        <w:rPr>
          <w:rFonts w:asciiTheme="majorHAnsi" w:hAnsiTheme="majorHAnsi"/>
          <w:b/>
          <w:i/>
          <w:iCs/>
          <w:sz w:val="32"/>
          <w:szCs w:val="36"/>
        </w:rPr>
      </w:pPr>
      <w:r w:rsidRPr="006D229A">
        <w:br w:type="page"/>
      </w:r>
    </w:p>
    <w:p w:rsidR="00CA1361" w:rsidP="000406C3" w:rsidRDefault="000406C3" w14:paraId="06D686BE" w14:textId="7F754A8D">
      <w:pPr>
        <w:pStyle w:val="Heading2"/>
      </w:pPr>
      <w:r>
        <w:lastRenderedPageBreak/>
        <w:t>4.4</w:t>
      </w:r>
      <w:r>
        <w:tab/>
      </w:r>
      <w:r w:rsidR="00CA1361">
        <w:t>Findings</w:t>
      </w:r>
    </w:p>
    <w:p w:rsidR="00CA1361" w:rsidP="00CA1361" w:rsidRDefault="00CA1361" w14:paraId="6EFBC8AA" w14:textId="77777777">
      <w:pPr>
        <w:pStyle w:val="ListBullet"/>
        <w:numPr>
          <w:ilvl w:val="0"/>
          <w:numId w:val="0"/>
        </w:numPr>
      </w:pPr>
    </w:p>
    <w:tbl>
      <w:tblPr>
        <w:tblStyle w:val="Tables-APBase"/>
        <w:tblW w:w="0" w:type="auto"/>
        <w:tblLook w:val="04A0" w:firstRow="1" w:lastRow="0" w:firstColumn="1" w:lastColumn="0" w:noHBand="0" w:noVBand="1"/>
      </w:tblPr>
      <w:tblGrid>
        <w:gridCol w:w="2796"/>
        <w:gridCol w:w="7059"/>
      </w:tblGrid>
      <w:tr w:rsidRPr="00CA1361" w:rsidR="00CA1361" w:rsidTr="002C1B01" w14:paraId="69ED2965"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083" w:type="dxa"/>
            <w:gridSpan w:val="2"/>
            <w:shd w:val="clear" w:color="auto" w:fill="DC6900" w:themeFill="accent1"/>
          </w:tcPr>
          <w:p w:rsidRPr="004616CD" w:rsidR="00CA1361" w:rsidP="00CA1361" w:rsidRDefault="00CA1361" w14:paraId="4C4E10F3" w14:textId="77777777">
            <w:pPr>
              <w:rPr>
                <w:rFonts w:asciiTheme="minorHAnsi" w:hAnsiTheme="minorHAnsi"/>
                <w:b/>
                <w:bCs/>
              </w:rPr>
            </w:pPr>
            <w:r w:rsidRPr="004616CD">
              <w:rPr>
                <w:rFonts w:asciiTheme="minorHAnsi" w:hAnsiTheme="minorHAnsi"/>
                <w:b/>
                <w:bCs/>
                <w:sz w:val="24"/>
                <w:szCs w:val="24"/>
              </w:rPr>
              <w:t>Issue theme 1: Language</w:t>
            </w:r>
          </w:p>
        </w:tc>
      </w:tr>
      <w:tr w:rsidRPr="00CA1361" w:rsidR="00CA1361" w:rsidTr="002C1B01" w14:paraId="44E909C6" w14:textId="77777777">
        <w:tc>
          <w:tcPr>
            <w:tcW w:w="10083" w:type="dxa"/>
            <w:gridSpan w:val="2"/>
          </w:tcPr>
          <w:p w:rsidRPr="00CA1361" w:rsidR="00CA1361" w:rsidP="00CA1361" w:rsidRDefault="00CA1361" w14:paraId="4A59EFD7" w14:textId="77777777">
            <w:pPr>
              <w:rPr>
                <w:rFonts w:asciiTheme="minorHAnsi" w:hAnsiTheme="minorHAnsi"/>
              </w:rPr>
            </w:pPr>
            <w:r w:rsidRPr="00CA1361">
              <w:rPr>
                <w:rFonts w:asciiTheme="minorHAnsi" w:hAnsiTheme="minorHAnsi"/>
              </w:rPr>
              <w:t>The language ranges from clear to inconsistent in parts of the CX standards. In particular, the use of the vague phrase, “seek to comply”, which permeates this Data Standard provides extensive ‘wriggle room’ to negate any compliance requirements. “Seek to comply” is inconsistent with the obligations under the Disability Discrimination Act (</w:t>
            </w:r>
            <w:r w:rsidRPr="00CA1361">
              <w:rPr>
                <w:rFonts w:asciiTheme="minorHAnsi" w:hAnsiTheme="minorHAnsi"/>
                <w:b/>
                <w:bCs/>
              </w:rPr>
              <w:t>DDA</w:t>
            </w:r>
            <w:r w:rsidRPr="00CA1361">
              <w:rPr>
                <w:rFonts w:asciiTheme="minorHAnsi" w:hAnsiTheme="minorHAnsi"/>
              </w:rPr>
              <w:t>), and the Australian Human Rights Commission’s (</w:t>
            </w:r>
            <w:r w:rsidRPr="00CA1361">
              <w:rPr>
                <w:rFonts w:asciiTheme="minorHAnsi" w:hAnsiTheme="minorHAnsi"/>
                <w:b/>
                <w:bCs/>
              </w:rPr>
              <w:t>AHRC</w:t>
            </w:r>
            <w:r w:rsidRPr="00CA1361">
              <w:rPr>
                <w:rFonts w:asciiTheme="minorHAnsi" w:hAnsiTheme="minorHAnsi"/>
              </w:rPr>
              <w:t>) advice on how to achieve it.</w:t>
            </w:r>
          </w:p>
          <w:p w:rsidRPr="00CA1361" w:rsidR="00CA1361" w:rsidP="00CA1361" w:rsidRDefault="00CA1361" w14:paraId="7752F760" w14:textId="77777777">
            <w:pPr>
              <w:rPr>
                <w:rFonts w:asciiTheme="minorHAnsi" w:hAnsiTheme="minorHAnsi"/>
              </w:rPr>
            </w:pPr>
            <w:r w:rsidRPr="00CA1361">
              <w:rPr>
                <w:rFonts w:asciiTheme="minorHAnsi" w:hAnsiTheme="minorHAnsi"/>
              </w:rPr>
              <w:t>The authors understand that “SHOULD”, used as per RFC2119, takes an active definition. However, users may not take this interpretation. The risk is that the use of the term “SHOULD” does not include clear expectations on Accessibility standards again provides extensive ‘wriggle room’ that could negate any compliance requirements, as discussed in Recommendation 6.</w:t>
            </w:r>
          </w:p>
        </w:tc>
      </w:tr>
      <w:tr w:rsidRPr="00CA1361" w:rsidR="00CA1361" w:rsidTr="002C1B01" w14:paraId="55FBEC07" w14:textId="77777777">
        <w:tc>
          <w:tcPr>
            <w:tcW w:w="2830" w:type="dxa"/>
          </w:tcPr>
          <w:p w:rsidRPr="00CA1361" w:rsidR="00CA1361" w:rsidP="00CA1361" w:rsidRDefault="00CA1361" w14:paraId="3B28B9FC" w14:textId="77777777">
            <w:pPr>
              <w:rPr>
                <w:rFonts w:asciiTheme="minorHAnsi" w:hAnsiTheme="minorHAnsi"/>
                <w:lang w:val="en-US"/>
              </w:rPr>
            </w:pPr>
            <w:r w:rsidRPr="00CA1361">
              <w:rPr>
                <w:rFonts w:asciiTheme="minorHAnsi" w:hAnsiTheme="minorHAnsi"/>
                <w:b/>
                <w:bCs/>
              </w:rPr>
              <w:t>Recommendation</w:t>
            </w:r>
          </w:p>
        </w:tc>
        <w:tc>
          <w:tcPr>
            <w:tcW w:w="7253" w:type="dxa"/>
          </w:tcPr>
          <w:p w:rsidRPr="00CA1361" w:rsidR="00CA1361" w:rsidP="00CA1361" w:rsidRDefault="00CA1361" w14:paraId="2473D636" w14:textId="77777777">
            <w:pPr>
              <w:rPr>
                <w:rFonts w:asciiTheme="minorHAnsi" w:hAnsiTheme="minorHAnsi"/>
              </w:rPr>
            </w:pPr>
            <w:r w:rsidRPr="00CA1361">
              <w:rPr>
                <w:rFonts w:asciiTheme="minorHAnsi" w:hAnsiTheme="minorHAnsi"/>
              </w:rPr>
              <w:t>The Chair and DSB should consider changing the term to “MUST</w:t>
            </w:r>
          </w:p>
          <w:p w:rsidRPr="00CA1361" w:rsidR="00CA1361" w:rsidP="00CA1361" w:rsidRDefault="00CA1361" w14:paraId="0AED8B0B" w14:textId="77777777">
            <w:pPr>
              <w:rPr>
                <w:rFonts w:asciiTheme="minorHAnsi" w:hAnsiTheme="minorHAnsi"/>
                <w:lang w:eastAsia="en-AU"/>
              </w:rPr>
            </w:pPr>
          </w:p>
        </w:tc>
      </w:tr>
      <w:tr w:rsidRPr="00CA1361" w:rsidR="00CA1361" w:rsidTr="002C1B01" w14:paraId="1473CE58" w14:textId="77777777">
        <w:tc>
          <w:tcPr>
            <w:tcW w:w="10083" w:type="dxa"/>
            <w:gridSpan w:val="2"/>
            <w:shd w:val="clear" w:color="auto" w:fill="DC6900" w:themeFill="text2"/>
          </w:tcPr>
          <w:p w:rsidRPr="004616CD" w:rsidR="00CA1361" w:rsidP="00CA1361" w:rsidRDefault="00CA1361" w14:paraId="3C9AA9E0" w14:textId="77777777">
            <w:pPr>
              <w:rPr>
                <w:rFonts w:asciiTheme="minorHAnsi" w:hAnsiTheme="minorHAnsi"/>
                <w:b/>
                <w:bCs/>
                <w:lang w:eastAsia="en-AU"/>
              </w:rPr>
            </w:pPr>
            <w:r w:rsidRPr="004616CD">
              <w:rPr>
                <w:rFonts w:asciiTheme="minorHAnsi" w:hAnsiTheme="minorHAnsi"/>
                <w:b/>
                <w:bCs/>
                <w:sz w:val="24"/>
                <w:szCs w:val="24"/>
                <w:lang w:eastAsia="en-AU"/>
              </w:rPr>
              <w:t>Issue theme 2: Use of WCAG success criteria</w:t>
            </w:r>
          </w:p>
        </w:tc>
      </w:tr>
      <w:tr w:rsidRPr="00CA1361" w:rsidR="00CA1361" w:rsidTr="002C1B01" w14:paraId="2D9BAE12" w14:textId="77777777">
        <w:tc>
          <w:tcPr>
            <w:tcW w:w="10083" w:type="dxa"/>
            <w:gridSpan w:val="2"/>
          </w:tcPr>
          <w:p w:rsidRPr="00CA1361" w:rsidR="00CA1361" w:rsidP="00CA1361" w:rsidRDefault="00CA1361" w14:paraId="39BFC2E3" w14:textId="77777777">
            <w:pPr>
              <w:rPr>
                <w:rFonts w:asciiTheme="minorHAnsi" w:hAnsiTheme="minorHAnsi"/>
              </w:rPr>
            </w:pPr>
            <w:r w:rsidRPr="00CA1361">
              <w:rPr>
                <w:rFonts w:asciiTheme="minorHAnsi" w:hAnsiTheme="minorHAnsi"/>
              </w:rPr>
              <w:t>The DSB has referenced the WCAG requirements from a guidelines level in the CX standards. Therefore, the CX Standards cover 5 out of 13 WCAG guidelines, which equates to 35 out of 78 WCAG 2.1 success criteria.</w:t>
            </w:r>
          </w:p>
          <w:p w:rsidRPr="00CA1361" w:rsidR="00CA1361" w:rsidP="00CA1361" w:rsidRDefault="00CA1361" w14:paraId="0CA44BCB" w14:textId="77777777">
            <w:pPr>
              <w:rPr>
                <w:rFonts w:asciiTheme="minorHAnsi" w:hAnsiTheme="minorHAnsi"/>
              </w:rPr>
            </w:pPr>
            <w:r w:rsidRPr="00CA1361">
              <w:rPr>
                <w:rFonts w:asciiTheme="minorHAnsi" w:hAnsiTheme="minorHAnsi"/>
              </w:rPr>
              <w:t>Additional success criteria, which are relevant, but are not explicitly mentioned include:</w:t>
            </w:r>
          </w:p>
          <w:p w:rsidRPr="00CA1361" w:rsidR="00CA1361" w:rsidP="00CA1361" w:rsidRDefault="00CA1361" w14:paraId="15FC6F9C" w14:textId="77777777">
            <w:pPr>
              <w:rPr>
                <w:rFonts w:asciiTheme="minorHAnsi" w:hAnsiTheme="minorHAnsi"/>
              </w:rPr>
            </w:pPr>
            <w:r w:rsidRPr="00CA1361">
              <w:rPr>
                <w:rFonts w:asciiTheme="minorHAnsi" w:hAnsiTheme="minorHAnsi"/>
              </w:rPr>
              <w:t>WCAG success criteria 1.4.10, which requires text and other content on a screen to reflow without requiring horizontal scrolling. This supports consumers with low vision including seniors.</w:t>
            </w:r>
          </w:p>
          <w:p w:rsidRPr="00CA1361" w:rsidR="00CA1361" w:rsidP="00CA1361" w:rsidRDefault="00CA1361" w14:paraId="10526461" w14:textId="77777777">
            <w:pPr>
              <w:rPr>
                <w:rFonts w:asciiTheme="minorHAnsi" w:hAnsiTheme="minorHAnsi"/>
              </w:rPr>
            </w:pPr>
            <w:r w:rsidRPr="00CA1361">
              <w:rPr>
                <w:rFonts w:asciiTheme="minorHAnsi" w:hAnsiTheme="minorHAnsi"/>
              </w:rPr>
              <w:t>WCAG success criteria 3.3.4, which is for Web pages that cause legal commitments or financial transactions for the consumer to occur, which modify or delete consumer-controllable data in data storage systems, or that submit consumer test responses, at least one of the following is true:</w:t>
            </w:r>
          </w:p>
          <w:p w:rsidRPr="00CA1361" w:rsidR="00CA1361" w:rsidP="00CA1361" w:rsidRDefault="00CA1361" w14:paraId="43E19343" w14:textId="77777777">
            <w:pPr>
              <w:rPr>
                <w:rFonts w:asciiTheme="minorHAnsi" w:hAnsiTheme="minorHAnsi"/>
              </w:rPr>
            </w:pPr>
            <w:r w:rsidRPr="00CA1361">
              <w:rPr>
                <w:rFonts w:asciiTheme="minorHAnsi" w:hAnsiTheme="minorHAnsi"/>
              </w:rPr>
              <w:t>Reversible: Submissions are reversible</w:t>
            </w:r>
          </w:p>
          <w:p w:rsidRPr="00CA1361" w:rsidR="00CA1361" w:rsidP="00CA1361" w:rsidRDefault="00CA1361" w14:paraId="3FDB49C1" w14:textId="77777777">
            <w:pPr>
              <w:rPr>
                <w:rFonts w:asciiTheme="minorHAnsi" w:hAnsiTheme="minorHAnsi"/>
              </w:rPr>
            </w:pPr>
            <w:r w:rsidRPr="00CA1361">
              <w:rPr>
                <w:rFonts w:asciiTheme="minorHAnsi" w:hAnsiTheme="minorHAnsi"/>
              </w:rPr>
              <w:t>Checked: Data entered by the consumer is checked for input errors and the consumer is provided an opportunity to correct them; or</w:t>
            </w:r>
          </w:p>
          <w:p w:rsidRPr="00CA1361" w:rsidR="00CA1361" w:rsidP="00CA1361" w:rsidRDefault="00CA1361" w14:paraId="5AA957D7" w14:textId="77777777">
            <w:pPr>
              <w:rPr>
                <w:rFonts w:asciiTheme="minorHAnsi" w:hAnsiTheme="minorHAnsi"/>
              </w:rPr>
            </w:pPr>
            <w:r w:rsidRPr="00CA1361">
              <w:rPr>
                <w:rFonts w:asciiTheme="minorHAnsi" w:hAnsiTheme="minorHAnsi"/>
              </w:rPr>
              <w:t xml:space="preserve">Confirmed: A mechanism is available for reviewing, confirming and correcting information before finalising the submission. </w:t>
            </w:r>
          </w:p>
        </w:tc>
      </w:tr>
      <w:tr w:rsidRPr="00CA1361" w:rsidR="00CA1361" w:rsidTr="002C1B01" w14:paraId="29AE7CCE" w14:textId="77777777">
        <w:tc>
          <w:tcPr>
            <w:tcW w:w="2830" w:type="dxa"/>
          </w:tcPr>
          <w:p w:rsidRPr="00CA1361" w:rsidR="00CA1361" w:rsidP="00CA1361" w:rsidRDefault="00CA1361" w14:paraId="4871AFA5" w14:textId="77777777">
            <w:pPr>
              <w:rPr>
                <w:rFonts w:asciiTheme="minorHAnsi" w:hAnsiTheme="minorHAnsi"/>
                <w:lang w:val="en-US"/>
              </w:rPr>
            </w:pPr>
            <w:r w:rsidRPr="00CA1361">
              <w:rPr>
                <w:rFonts w:asciiTheme="minorHAnsi" w:hAnsiTheme="minorHAnsi"/>
                <w:b/>
                <w:bCs/>
              </w:rPr>
              <w:t>Recommendation</w:t>
            </w:r>
          </w:p>
          <w:p w:rsidRPr="00CA1361" w:rsidR="00CA1361" w:rsidP="00CA1361" w:rsidRDefault="00CA1361" w14:paraId="4C6C353E" w14:textId="77777777">
            <w:pPr>
              <w:rPr>
                <w:rFonts w:asciiTheme="minorHAnsi" w:hAnsiTheme="minorHAnsi"/>
                <w:lang w:val="en-US"/>
              </w:rPr>
            </w:pPr>
          </w:p>
        </w:tc>
        <w:tc>
          <w:tcPr>
            <w:tcW w:w="7253" w:type="dxa"/>
          </w:tcPr>
          <w:p w:rsidRPr="00CA1361" w:rsidR="00CA1361" w:rsidP="00CA1361" w:rsidRDefault="00CA1361" w14:paraId="6E435F5E" w14:textId="77777777">
            <w:pPr>
              <w:rPr>
                <w:rFonts w:asciiTheme="minorHAnsi" w:hAnsiTheme="minorHAnsi"/>
                <w:lang w:eastAsia="en-AU"/>
              </w:rPr>
            </w:pPr>
            <w:r w:rsidRPr="00CA1361">
              <w:rPr>
                <w:rFonts w:asciiTheme="minorHAnsi" w:hAnsiTheme="minorHAnsi"/>
              </w:rPr>
              <w:t>To create a more robust CX Accessibility Standard we have proposed to simplify the documentation of WCAG success criteria through an overall statement of assessment against the latest version of WCAG, as recommended in Recommendations 5 and 6.</w:t>
            </w:r>
          </w:p>
        </w:tc>
      </w:tr>
    </w:tbl>
    <w:p w:rsidRPr="00CA1361" w:rsidR="00CA1361" w:rsidP="00CA1361" w:rsidRDefault="00CA1361" w14:paraId="25F6B4CB" w14:textId="77777777">
      <w:pPr>
        <w:rPr>
          <w:b/>
          <w:bCs/>
        </w:rPr>
      </w:pPr>
    </w:p>
    <w:p w:rsidR="00CA1361" w:rsidP="00CA1361" w:rsidRDefault="00CA1361" w14:paraId="04828DF1" w14:textId="77777777">
      <w:pPr>
        <w:pStyle w:val="ListBullet"/>
        <w:numPr>
          <w:ilvl w:val="0"/>
          <w:numId w:val="0"/>
        </w:numPr>
      </w:pPr>
    </w:p>
    <w:p w:rsidR="00BD4CF4" w:rsidRDefault="00BD4CF4" w14:paraId="1F8C00E3" w14:textId="57949C99">
      <w:pPr>
        <w:spacing w:after="160" w:line="259" w:lineRule="auto"/>
        <w:rPr>
          <w:rFonts w:ascii="Georgia" w:hAnsi="Georgia" w:eastAsia="Times New Roman" w:cs="Arial"/>
          <w:snapToGrid w:val="0"/>
          <w:lang w:val="en-AU" w:eastAsia="en-US"/>
        </w:rPr>
      </w:pPr>
      <w:r>
        <w:br w:type="page"/>
      </w:r>
    </w:p>
    <w:p w:rsidR="00BD4CF4" w:rsidP="00BD4CF4" w:rsidRDefault="00BD4CF4" w14:paraId="04F1F2E6" w14:textId="6848553F">
      <w:pPr>
        <w:pStyle w:val="Heading1"/>
      </w:pPr>
      <w:bookmarkStart w:name="_Toc115693173" w:id="14"/>
      <w:r>
        <w:lastRenderedPageBreak/>
        <w:t>5</w:t>
      </w:r>
      <w:r>
        <w:tab/>
      </w:r>
      <w:r>
        <w:t>Heuristic Review</w:t>
      </w:r>
      <w:bookmarkEnd w:id="14"/>
    </w:p>
    <w:p w:rsidR="00BD4CF4" w:rsidP="00317EA9" w:rsidRDefault="00317EA9" w14:paraId="510019AD" w14:textId="59CB9BDE">
      <w:pPr>
        <w:pStyle w:val="Heading2"/>
      </w:pPr>
      <w:r>
        <w:t>5.1</w:t>
      </w:r>
      <w:r>
        <w:tab/>
      </w:r>
      <w:r w:rsidR="00BD4CF4">
        <w:t>Context</w:t>
      </w:r>
    </w:p>
    <w:p w:rsidR="00BD4CF4" w:rsidP="00317EA9" w:rsidRDefault="00BD4CF4" w14:paraId="0BE5DD90" w14:textId="77777777">
      <w:r w:rsidRPr="00D51C1F">
        <w:t xml:space="preserve">Design Systems are often used as a single source of truth for the design and development of digital products and services. Design systems comprise of a collection of reusable components which can be </w:t>
      </w:r>
      <w:proofErr w:type="gramStart"/>
      <w:r w:rsidRPr="00D51C1F">
        <w:t>assembled together</w:t>
      </w:r>
      <w:proofErr w:type="gramEnd"/>
      <w:r w:rsidRPr="00D51C1F">
        <w:t xml:space="preserve"> to build any number of screens. This ensures consistency across different use cases, </w:t>
      </w:r>
      <w:proofErr w:type="gramStart"/>
      <w:r w:rsidRPr="00D51C1F">
        <w:t>scenarios</w:t>
      </w:r>
      <w:proofErr w:type="gramEnd"/>
      <w:r w:rsidRPr="00D51C1F">
        <w:t xml:space="preserve"> and flows.</w:t>
      </w:r>
    </w:p>
    <w:p w:rsidR="00BD4CF4" w:rsidP="00317EA9" w:rsidRDefault="00BD4CF4" w14:paraId="0C719D61" w14:textId="77777777">
      <w:r w:rsidRPr="00D51C1F">
        <w:t>The DSB Design Library uses the GOLD Design System (formerly Australian Government Design System). Based on CX research, the DSB have customised existing components of the GOLD Design System to better suit the content and functionality required of the CDR Consent Mod</w:t>
      </w:r>
      <w:r w:rsidRPr="00D51C1F">
        <w:rPr>
          <w:bCs/>
        </w:rPr>
        <w:t>el</w:t>
      </w:r>
      <w:r>
        <w:rPr>
          <w:bCs/>
        </w:rPr>
        <w:t>.</w:t>
      </w:r>
    </w:p>
    <w:p w:rsidR="00BD4CF4" w:rsidP="00317EA9" w:rsidRDefault="00317EA9" w14:paraId="7DAF5153" w14:textId="1547F16F">
      <w:pPr>
        <w:pStyle w:val="Heading2"/>
      </w:pPr>
      <w:r>
        <w:t>5.2</w:t>
      </w:r>
      <w:r>
        <w:tab/>
      </w:r>
      <w:r w:rsidR="00BD4CF4">
        <w:t>Methodology</w:t>
      </w:r>
    </w:p>
    <w:p w:rsidRPr="006D229A" w:rsidR="00BD4CF4" w:rsidP="00317EA9" w:rsidRDefault="00BD4CF4" w14:paraId="49CFDB1B" w14:textId="77777777">
      <w:r w:rsidRPr="001E5802">
        <w:t>A heuristic review of a design system is</w:t>
      </w:r>
      <w:r>
        <w:t xml:space="preserve"> a way to test usability</w:t>
      </w:r>
      <w:r w:rsidRPr="001E5802">
        <w:t>. In this review, the content of the DSB’s Design Library was reviewed by inclusive-user-experience design practitioners in terms of Usability and inclusive-design heuristics:</w:t>
      </w:r>
    </w:p>
    <w:p w:rsidRPr="006D229A" w:rsidR="00BD4CF4" w:rsidP="00317EA9" w:rsidRDefault="009B4FF6" w14:paraId="461581AF" w14:textId="77777777">
      <w:pPr>
        <w:pStyle w:val="Bulletpointdot"/>
      </w:pPr>
      <w:hyperlink r:id="rId25">
        <w:r w:rsidRPr="006D229A" w:rsidR="00BD4CF4">
          <w:rPr>
            <w:rStyle w:val="Hyperlink"/>
            <w:color w:val="auto"/>
          </w:rPr>
          <w:t>Usability heuristics (Nielsen Norman Group</w:t>
        </w:r>
      </w:hyperlink>
      <w:r w:rsidRPr="006D229A" w:rsidR="00BD4CF4">
        <w:t>)</w:t>
      </w:r>
    </w:p>
    <w:p w:rsidRPr="006D229A" w:rsidR="00BD4CF4" w:rsidP="00317EA9" w:rsidRDefault="009B4FF6" w14:paraId="421CFF79" w14:textId="77777777">
      <w:pPr>
        <w:pStyle w:val="Bulletpointdot"/>
      </w:pPr>
      <w:hyperlink r:id="rId26">
        <w:r w:rsidRPr="006D229A" w:rsidR="00BD4CF4">
          <w:rPr>
            <w:rStyle w:val="Hyperlink"/>
            <w:color w:val="auto"/>
          </w:rPr>
          <w:t>Inclusive Design dimensions (</w:t>
        </w:r>
        <w:proofErr w:type="spellStart"/>
        <w:r w:rsidRPr="006D229A" w:rsidR="00BD4CF4">
          <w:rPr>
            <w:rStyle w:val="Hyperlink"/>
            <w:color w:val="auto"/>
          </w:rPr>
          <w:t>CfID</w:t>
        </w:r>
        <w:proofErr w:type="spellEnd"/>
        <w:r w:rsidRPr="006D229A" w:rsidR="00BD4CF4">
          <w:rPr>
            <w:rStyle w:val="Hyperlink"/>
            <w:color w:val="auto"/>
          </w:rPr>
          <w:t>, IDRC)</w:t>
        </w:r>
      </w:hyperlink>
    </w:p>
    <w:p w:rsidRPr="006D229A" w:rsidR="00BD4CF4" w:rsidP="00317EA9" w:rsidRDefault="009B4FF6" w14:paraId="6D81AA2F" w14:textId="77777777">
      <w:pPr>
        <w:pStyle w:val="Bulletpointdot"/>
        <w:rPr>
          <w:rStyle w:val="Hyperlink"/>
          <w:color w:val="auto"/>
        </w:rPr>
      </w:pPr>
      <w:hyperlink r:id="rId27">
        <w:r w:rsidRPr="006D229A" w:rsidR="00BD4CF4">
          <w:rPr>
            <w:rStyle w:val="Hyperlink"/>
            <w:color w:val="auto"/>
          </w:rPr>
          <w:t>Accessibility principles: POUR (W3C)</w:t>
        </w:r>
      </w:hyperlink>
    </w:p>
    <w:p w:rsidR="00BD4CF4" w:rsidP="00317EA9" w:rsidRDefault="00317EA9" w14:paraId="226AB620" w14:textId="1B3BCCCE">
      <w:pPr>
        <w:pStyle w:val="Heading2"/>
      </w:pPr>
      <w:r>
        <w:t>5.3</w:t>
      </w:r>
      <w:r>
        <w:tab/>
      </w:r>
      <w:r w:rsidR="00BD4CF4">
        <w:t>Limitations</w:t>
      </w:r>
    </w:p>
    <w:p w:rsidR="00BD4CF4" w:rsidP="00317EA9" w:rsidRDefault="00BD4CF4" w14:paraId="72D9B693" w14:textId="77777777">
      <w:r>
        <w:t>Given time and budget constraints, this is a high level and strategic heuristic review rather than a detailed or comprehensive audit.</w:t>
      </w:r>
    </w:p>
    <w:p w:rsidR="00BD4CF4" w:rsidP="00317EA9" w:rsidRDefault="00317EA9" w14:paraId="253E1426" w14:textId="5FB3447E">
      <w:pPr>
        <w:pStyle w:val="Heading2"/>
      </w:pPr>
      <w:r>
        <w:t>5.4</w:t>
      </w:r>
      <w:r>
        <w:tab/>
      </w:r>
      <w:r w:rsidR="00BD4CF4">
        <w:t>Findings</w:t>
      </w:r>
    </w:p>
    <w:p w:rsidRPr="00D51C1F" w:rsidR="00BD4CF4" w:rsidP="00317EA9" w:rsidRDefault="00BD4CF4" w14:paraId="5997BB43" w14:textId="77777777">
      <w:r>
        <w:t>The DSB’s Design Library is a solid foundation for the CDR’s CX Guidelines in terms of style guide and information hierarchy. The findings report only the DSB’s Design Library elements that had issues. Others should be considered acceptable from a heuristics point of view.</w:t>
      </w:r>
    </w:p>
    <w:p w:rsidR="00BD4CF4" w:rsidP="00317EA9" w:rsidRDefault="00BD4CF4" w14:paraId="2CF7E1CB" w14:textId="77777777">
      <w:r>
        <w:t>This review identified three themes which can impact task completion and overall consumer experience, outlined in this section.</w:t>
      </w:r>
    </w:p>
    <w:p w:rsidR="00BD4CF4" w:rsidP="00BD4CF4" w:rsidRDefault="00BD4CF4" w14:paraId="3C9DE42A" w14:textId="77777777"/>
    <w:p w:rsidR="00BD4CF4" w:rsidP="00BD4CF4" w:rsidRDefault="00BD4CF4" w14:paraId="1046FAAC" w14:textId="77777777">
      <w:pPr>
        <w:rPr>
          <w:b/>
          <w:bCs/>
        </w:rPr>
      </w:pPr>
    </w:p>
    <w:p w:rsidRPr="00A6660D" w:rsidR="00BD4CF4" w:rsidP="00BD4CF4" w:rsidRDefault="00BD4CF4" w14:paraId="0E0B630B" w14:textId="77777777">
      <w:pPr>
        <w:pStyle w:val="PwCNormal"/>
        <w:numPr>
          <w:ilvl w:val="0"/>
          <w:numId w:val="0"/>
        </w:numPr>
      </w:pPr>
    </w:p>
    <w:p w:rsidR="00BD4CF4" w:rsidP="00BD4CF4" w:rsidRDefault="00BD4CF4" w14:paraId="65E34634" w14:textId="1524AE90">
      <w:pPr>
        <w:rPr>
          <w:b/>
        </w:rPr>
      </w:pPr>
      <w:r>
        <w:rPr>
          <w:b/>
        </w:rPr>
        <w:br w:type="page"/>
      </w:r>
    </w:p>
    <w:tbl>
      <w:tblPr>
        <w:tblStyle w:val="Tables-APBase"/>
        <w:tblW w:w="0" w:type="auto"/>
        <w:tblLook w:val="04A0" w:firstRow="1" w:lastRow="0" w:firstColumn="1" w:lastColumn="0" w:noHBand="0" w:noVBand="1"/>
      </w:tblPr>
      <w:tblGrid>
        <w:gridCol w:w="2247"/>
        <w:gridCol w:w="8"/>
        <w:gridCol w:w="7600"/>
      </w:tblGrid>
      <w:tr w:rsidRPr="00317EA9" w:rsidR="00BD4CF4" w:rsidTr="002C1B01" w14:paraId="0B5065DC"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855" w:type="dxa"/>
            <w:gridSpan w:val="3"/>
            <w:shd w:val="clear" w:color="auto" w:fill="DC6900"/>
          </w:tcPr>
          <w:p w:rsidRPr="007C6FE2" w:rsidR="00BD4CF4" w:rsidP="00317EA9" w:rsidRDefault="00BD4CF4" w14:paraId="5B093558" w14:textId="77777777">
            <w:pPr>
              <w:rPr>
                <w:rFonts w:asciiTheme="minorHAnsi" w:hAnsiTheme="minorHAnsi"/>
                <w:b/>
                <w:bCs/>
                <w:color w:val="FFFFFF" w:themeColor="background1"/>
                <w:sz w:val="24"/>
                <w:szCs w:val="24"/>
              </w:rPr>
            </w:pPr>
            <w:r w:rsidRPr="004616CD">
              <w:rPr>
                <w:rFonts w:asciiTheme="minorHAnsi" w:hAnsiTheme="minorHAnsi"/>
                <w:b/>
                <w:bCs/>
                <w:sz w:val="24"/>
                <w:szCs w:val="24"/>
              </w:rPr>
              <w:lastRenderedPageBreak/>
              <w:t>Issue theme Task orientation</w:t>
            </w:r>
            <w:r w:rsidRPr="004616CD">
              <w:rPr>
                <w:rFonts w:asciiTheme="minorHAnsi" w:hAnsiTheme="minorHAnsi"/>
                <w:b/>
                <w:bCs/>
                <w:sz w:val="24"/>
                <w:szCs w:val="24"/>
              </w:rPr>
              <w:br/>
            </w:r>
            <w:r w:rsidRPr="004616CD">
              <w:rPr>
                <w:rFonts w:asciiTheme="minorHAnsi" w:hAnsiTheme="minorHAnsi"/>
                <w:b/>
                <w:bCs/>
                <w:sz w:val="24"/>
                <w:szCs w:val="24"/>
              </w:rPr>
              <w:t>Issue 1.1: Clarity on CDR governance and regulation</w:t>
            </w:r>
          </w:p>
        </w:tc>
      </w:tr>
      <w:tr w:rsidRPr="00317EA9" w:rsidR="00BD4CF4" w:rsidTr="002C1B01" w14:paraId="5BD66EEE" w14:textId="77777777">
        <w:tc>
          <w:tcPr>
            <w:tcW w:w="9855" w:type="dxa"/>
            <w:gridSpan w:val="3"/>
          </w:tcPr>
          <w:p w:rsidRPr="00317EA9" w:rsidR="00BD4CF4" w:rsidP="00317EA9" w:rsidRDefault="00BD4CF4" w14:paraId="26606A30" w14:textId="77777777">
            <w:pPr>
              <w:rPr>
                <w:rFonts w:asciiTheme="minorHAnsi" w:hAnsiTheme="minorHAnsi"/>
                <w:lang w:eastAsia="en-AU"/>
              </w:rPr>
            </w:pPr>
            <w:r w:rsidRPr="00317EA9">
              <w:rPr>
                <w:rFonts w:asciiTheme="minorHAnsi" w:hAnsiTheme="minorHAnsi"/>
              </w:rPr>
              <w:t xml:space="preserve">The </w:t>
            </w:r>
            <w:hyperlink w:history="1" r:id="rId28">
              <w:r w:rsidRPr="008B23A9">
                <w:rPr>
                  <w:rStyle w:val="Hyperlink"/>
                  <w:rFonts w:asciiTheme="minorHAnsi" w:hAnsiTheme="minorHAnsi"/>
                  <w:color w:val="auto"/>
                </w:rPr>
                <w:t>www.cdr.gov.au</w:t>
              </w:r>
            </w:hyperlink>
            <w:r w:rsidRPr="00317EA9">
              <w:rPr>
                <w:rFonts w:asciiTheme="minorHAnsi" w:hAnsiTheme="minorHAnsi"/>
              </w:rPr>
              <w:t xml:space="preserve"> website provides an explanation of the value of the CDR, (that it is easy to use and keeps your information safe). However, it is unclear who the CDR is governed by, and subsequently who ‘we’ refers to. As CDR relatively new and is not a well-known government institution (e.g., ATO), consumers may not trust it enough to proceed. Consumers expressed confusion about who was accessing their data, whether it would go to government and/or private financial entities/banks, and if so, what they might do with it.</w:t>
            </w:r>
          </w:p>
        </w:tc>
      </w:tr>
      <w:tr w:rsidRPr="00317EA9" w:rsidR="00BD4CF4" w:rsidTr="002C1B01" w14:paraId="76370AA0" w14:textId="77777777">
        <w:tc>
          <w:tcPr>
            <w:tcW w:w="2255" w:type="dxa"/>
            <w:gridSpan w:val="2"/>
          </w:tcPr>
          <w:p w:rsidRPr="00317EA9" w:rsidR="00BD4CF4" w:rsidP="00317EA9" w:rsidRDefault="00BD4CF4" w14:paraId="4C6A82D7" w14:textId="77777777">
            <w:pPr>
              <w:rPr>
                <w:rFonts w:asciiTheme="minorHAnsi" w:hAnsiTheme="minorHAnsi"/>
                <w:lang w:val="en-US"/>
              </w:rPr>
            </w:pPr>
            <w:r w:rsidRPr="00317EA9">
              <w:rPr>
                <w:rFonts w:asciiTheme="minorHAnsi" w:hAnsiTheme="minorHAnsi"/>
              </w:rPr>
              <w:t>Recommendation</w:t>
            </w:r>
          </w:p>
          <w:p w:rsidRPr="00317EA9" w:rsidR="00BD4CF4" w:rsidP="00317EA9" w:rsidRDefault="00BD4CF4" w14:paraId="2D2A5EE7" w14:textId="77777777">
            <w:pPr>
              <w:rPr>
                <w:rFonts w:asciiTheme="minorHAnsi" w:hAnsiTheme="minorHAnsi"/>
                <w:lang w:val="en-US"/>
              </w:rPr>
            </w:pPr>
          </w:p>
        </w:tc>
        <w:tc>
          <w:tcPr>
            <w:tcW w:w="7600" w:type="dxa"/>
          </w:tcPr>
          <w:p w:rsidRPr="00317EA9" w:rsidR="00BD4CF4" w:rsidP="00317EA9" w:rsidRDefault="00BD4CF4" w14:paraId="4D8793DE" w14:textId="77777777">
            <w:pPr>
              <w:rPr>
                <w:rFonts w:asciiTheme="minorHAnsi" w:hAnsiTheme="minorHAnsi"/>
              </w:rPr>
            </w:pPr>
            <w:r w:rsidRPr="00317EA9">
              <w:rPr>
                <w:rFonts w:asciiTheme="minorHAnsi" w:hAnsiTheme="minorHAnsi"/>
              </w:rPr>
              <w:t xml:space="preserve">Make the home page clearer and more transparent in terms of who makes decisions regarding data, how CDR data is accessed, how the CDR is governed and accessed by, and the value to the end user. </w:t>
            </w:r>
          </w:p>
          <w:p w:rsidRPr="00317EA9" w:rsidR="00BD4CF4" w:rsidP="00317EA9" w:rsidRDefault="00BD4CF4" w14:paraId="65407E38" w14:textId="77777777">
            <w:pPr>
              <w:rPr>
                <w:rFonts w:asciiTheme="minorHAnsi" w:hAnsiTheme="minorHAnsi"/>
                <w:lang w:eastAsia="en-AU"/>
              </w:rPr>
            </w:pPr>
            <w:r w:rsidRPr="00317EA9">
              <w:rPr>
                <w:rFonts w:asciiTheme="minorHAnsi" w:hAnsiTheme="minorHAnsi"/>
              </w:rPr>
              <w:t xml:space="preserve">Use the CDR home page to build trust. </w:t>
            </w:r>
          </w:p>
        </w:tc>
      </w:tr>
      <w:tr w:rsidRPr="00317EA9" w:rsidR="00BD4CF4" w:rsidTr="002C1B01" w14:paraId="62E4F9F4" w14:textId="77777777">
        <w:tc>
          <w:tcPr>
            <w:tcW w:w="2255" w:type="dxa"/>
            <w:gridSpan w:val="2"/>
          </w:tcPr>
          <w:p w:rsidRPr="00317EA9" w:rsidR="00BD4CF4" w:rsidP="00317EA9" w:rsidRDefault="00BD4CF4" w14:paraId="389F85A0" w14:textId="77777777">
            <w:pPr>
              <w:rPr>
                <w:rFonts w:asciiTheme="minorHAnsi" w:hAnsiTheme="minorHAnsi"/>
              </w:rPr>
            </w:pPr>
            <w:r w:rsidRPr="00317EA9">
              <w:rPr>
                <w:rFonts w:asciiTheme="minorHAnsi" w:hAnsiTheme="minorHAnsi"/>
              </w:rPr>
              <w:t xml:space="preserve">Evidence, </w:t>
            </w:r>
            <w:proofErr w:type="gramStart"/>
            <w:r w:rsidRPr="00317EA9">
              <w:rPr>
                <w:rFonts w:asciiTheme="minorHAnsi" w:hAnsiTheme="minorHAnsi"/>
              </w:rPr>
              <w:t>examples</w:t>
            </w:r>
            <w:proofErr w:type="gramEnd"/>
            <w:r w:rsidRPr="00317EA9">
              <w:rPr>
                <w:rFonts w:asciiTheme="minorHAnsi" w:hAnsiTheme="minorHAnsi"/>
              </w:rPr>
              <w:t xml:space="preserve"> and alternatives</w:t>
            </w:r>
          </w:p>
        </w:tc>
        <w:tc>
          <w:tcPr>
            <w:tcW w:w="7600" w:type="dxa"/>
          </w:tcPr>
          <w:p w:rsidRPr="00317EA9" w:rsidR="00BD4CF4" w:rsidP="00317EA9" w:rsidRDefault="00BD4CF4" w14:paraId="5AD61B5F" w14:textId="77777777">
            <w:pPr>
              <w:rPr>
                <w:rFonts w:asciiTheme="minorHAnsi" w:hAnsiTheme="minorHAnsi"/>
                <w:lang w:eastAsia="en-AU"/>
              </w:rPr>
            </w:pPr>
            <w:r w:rsidRPr="00317EA9">
              <w:rPr>
                <w:noProof/>
              </w:rPr>
              <w:drawing>
                <wp:inline distT="0" distB="0" distL="0" distR="0" wp14:anchorId="7EBFD336" wp14:editId="19377CE0">
                  <wp:extent cx="1961528" cy="969818"/>
                  <wp:effectExtent l="0" t="0" r="635" b="1905"/>
                  <wp:docPr id="21" name="Picture 12"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2" descr="Screen shot demonstrating issue described"/>
                          <pic:cNvPicPr/>
                        </pic:nvPicPr>
                        <pic:blipFill rotWithShape="1">
                          <a:blip r:embed="rId29" cstate="print">
                            <a:extLst>
                              <a:ext uri="{28A0092B-C50C-407E-A947-70E740481C1C}">
                                <a14:useLocalDpi xmlns:a14="http://schemas.microsoft.com/office/drawing/2010/main" val="0"/>
                              </a:ext>
                            </a:extLst>
                          </a:blip>
                          <a:srcRect b="13025"/>
                          <a:stretch/>
                        </pic:blipFill>
                        <pic:spPr bwMode="auto">
                          <a:xfrm>
                            <a:off x="0" y="0"/>
                            <a:ext cx="1962364" cy="970231"/>
                          </a:xfrm>
                          <a:prstGeom prst="rect">
                            <a:avLst/>
                          </a:prstGeom>
                          <a:ln>
                            <a:noFill/>
                          </a:ln>
                          <a:extLst>
                            <a:ext uri="{53640926-AAD7-44D8-BBD7-CCE9431645EC}">
                              <a14:shadowObscured xmlns:a14="http://schemas.microsoft.com/office/drawing/2010/main"/>
                            </a:ext>
                          </a:extLst>
                        </pic:spPr>
                      </pic:pic>
                    </a:graphicData>
                  </a:graphic>
                </wp:inline>
              </w:drawing>
            </w:r>
          </w:p>
        </w:tc>
      </w:tr>
      <w:tr w:rsidRPr="00317EA9" w:rsidR="00BD4CF4" w:rsidTr="002C1B01" w14:paraId="4EA9D278" w14:textId="77777777">
        <w:tc>
          <w:tcPr>
            <w:tcW w:w="9855" w:type="dxa"/>
            <w:gridSpan w:val="3"/>
            <w:shd w:val="clear" w:color="auto" w:fill="DC6900"/>
          </w:tcPr>
          <w:p w:rsidRPr="006E33E6" w:rsidR="00BD4CF4" w:rsidP="00317EA9" w:rsidRDefault="00BD4CF4" w14:paraId="0555FBCE" w14:textId="77777777">
            <w:pPr>
              <w:rPr>
                <w:rFonts w:asciiTheme="minorHAnsi" w:hAnsiTheme="minorHAnsi"/>
                <w:b/>
                <w:bCs/>
                <w:sz w:val="24"/>
                <w:szCs w:val="24"/>
                <w:lang w:eastAsia="en-AU"/>
              </w:rPr>
            </w:pPr>
            <w:r w:rsidRPr="006E33E6">
              <w:rPr>
                <w:rFonts w:asciiTheme="minorHAnsi" w:hAnsiTheme="minorHAnsi"/>
                <w:b/>
                <w:bCs/>
                <w:sz w:val="24"/>
                <w:szCs w:val="24"/>
                <w:lang w:eastAsia="en-AU"/>
              </w:rPr>
              <w:t xml:space="preserve">Issue </w:t>
            </w:r>
            <w:r w:rsidRPr="006E33E6">
              <w:rPr>
                <w:rFonts w:asciiTheme="minorHAnsi" w:hAnsiTheme="minorHAnsi"/>
                <w:b/>
                <w:bCs/>
                <w:sz w:val="24"/>
                <w:szCs w:val="24"/>
              </w:rPr>
              <w:t>1</w:t>
            </w:r>
            <w:r w:rsidRPr="006E33E6">
              <w:rPr>
                <w:rFonts w:asciiTheme="minorHAnsi" w:hAnsiTheme="minorHAnsi"/>
                <w:b/>
                <w:bCs/>
                <w:sz w:val="24"/>
                <w:szCs w:val="24"/>
                <w:lang w:eastAsia="en-AU"/>
              </w:rPr>
              <w:t xml:space="preserve">.2: </w:t>
            </w:r>
            <w:r w:rsidRPr="006E33E6">
              <w:rPr>
                <w:rFonts w:asciiTheme="minorHAnsi" w:hAnsiTheme="minorHAnsi"/>
                <w:b/>
                <w:bCs/>
                <w:sz w:val="24"/>
                <w:szCs w:val="24"/>
              </w:rPr>
              <w:t>Visibility of flows</w:t>
            </w:r>
          </w:p>
        </w:tc>
      </w:tr>
      <w:tr w:rsidRPr="00317EA9" w:rsidR="00BD4CF4" w:rsidTr="002C1B01" w14:paraId="5C821DA6" w14:textId="77777777">
        <w:tc>
          <w:tcPr>
            <w:tcW w:w="9855" w:type="dxa"/>
            <w:gridSpan w:val="3"/>
          </w:tcPr>
          <w:p w:rsidRPr="006E33E6" w:rsidR="00BD4CF4" w:rsidP="00317EA9" w:rsidRDefault="00BD4CF4" w14:paraId="63FC2E1E" w14:textId="77777777">
            <w:pPr>
              <w:rPr>
                <w:rFonts w:asciiTheme="minorHAnsi" w:hAnsiTheme="minorHAnsi"/>
                <w:lang w:eastAsia="en-AU"/>
              </w:rPr>
            </w:pPr>
            <w:r w:rsidRPr="006E33E6">
              <w:rPr>
                <w:rFonts w:asciiTheme="minorHAnsi" w:hAnsiTheme="minorHAnsi"/>
              </w:rPr>
              <w:t>No visibility of steps or progress through the flow to help users orient where they are up to and how much more to go until form completion. We observed that most of the consumers dropped off before completing the flow.</w:t>
            </w:r>
          </w:p>
        </w:tc>
      </w:tr>
      <w:tr w:rsidRPr="00317EA9" w:rsidR="00BD4CF4" w:rsidTr="002C1B01" w14:paraId="525485A4" w14:textId="77777777">
        <w:tc>
          <w:tcPr>
            <w:tcW w:w="2255" w:type="dxa"/>
            <w:gridSpan w:val="2"/>
          </w:tcPr>
          <w:p w:rsidRPr="006E33E6" w:rsidR="00BD4CF4" w:rsidP="00317EA9" w:rsidRDefault="00BD4CF4" w14:paraId="06B8409A" w14:textId="77777777">
            <w:pPr>
              <w:rPr>
                <w:rFonts w:asciiTheme="minorHAnsi" w:hAnsiTheme="minorHAnsi"/>
                <w:lang w:val="en-US"/>
              </w:rPr>
            </w:pPr>
            <w:r w:rsidRPr="006E33E6">
              <w:rPr>
                <w:rFonts w:asciiTheme="minorHAnsi" w:hAnsiTheme="minorHAnsi"/>
              </w:rPr>
              <w:t>Recommendation</w:t>
            </w:r>
          </w:p>
        </w:tc>
        <w:tc>
          <w:tcPr>
            <w:tcW w:w="7600" w:type="dxa"/>
          </w:tcPr>
          <w:p w:rsidRPr="006E33E6" w:rsidR="00BD4CF4" w:rsidP="00317EA9" w:rsidRDefault="00BD4CF4" w14:paraId="6592F882" w14:textId="77777777">
            <w:pPr>
              <w:rPr>
                <w:rFonts w:asciiTheme="minorHAnsi" w:hAnsiTheme="minorHAnsi"/>
                <w:lang w:eastAsia="en-AU"/>
              </w:rPr>
            </w:pPr>
            <w:r w:rsidRPr="006E33E6">
              <w:rPr>
                <w:rFonts w:asciiTheme="minorHAnsi" w:hAnsiTheme="minorHAnsi"/>
              </w:rPr>
              <w:t>Improve visibility of steps with indication of steps completed out of total steps and/or progress bar.</w:t>
            </w:r>
          </w:p>
        </w:tc>
      </w:tr>
      <w:tr w:rsidRPr="00317EA9" w:rsidR="00BD4CF4" w:rsidTr="002C1B01" w14:paraId="0FD7219C" w14:textId="77777777">
        <w:tc>
          <w:tcPr>
            <w:tcW w:w="2255" w:type="dxa"/>
            <w:gridSpan w:val="2"/>
          </w:tcPr>
          <w:p w:rsidRPr="006E33E6" w:rsidR="00BD4CF4" w:rsidP="00317EA9" w:rsidRDefault="00BD4CF4" w14:paraId="0F97CC6F" w14:textId="77777777">
            <w:pPr>
              <w:rPr>
                <w:rFonts w:asciiTheme="minorHAnsi" w:hAnsiTheme="minorHAnsi"/>
              </w:rPr>
            </w:pPr>
            <w:r w:rsidRPr="006E33E6">
              <w:rPr>
                <w:rFonts w:asciiTheme="minorHAnsi" w:hAnsiTheme="minorHAnsi"/>
              </w:rPr>
              <w:t xml:space="preserve">Evidence, </w:t>
            </w:r>
            <w:proofErr w:type="gramStart"/>
            <w:r w:rsidRPr="006E33E6">
              <w:rPr>
                <w:rFonts w:asciiTheme="minorHAnsi" w:hAnsiTheme="minorHAnsi"/>
              </w:rPr>
              <w:t>examples</w:t>
            </w:r>
            <w:proofErr w:type="gramEnd"/>
            <w:r w:rsidRPr="006E33E6">
              <w:rPr>
                <w:rFonts w:asciiTheme="minorHAnsi" w:hAnsiTheme="minorHAnsi"/>
              </w:rPr>
              <w:t xml:space="preserve"> and alternatives</w:t>
            </w:r>
          </w:p>
        </w:tc>
        <w:tc>
          <w:tcPr>
            <w:tcW w:w="7600" w:type="dxa"/>
          </w:tcPr>
          <w:p w:rsidRPr="006E33E6" w:rsidR="00BD4CF4" w:rsidP="00317EA9" w:rsidRDefault="00BD4CF4" w14:paraId="4D8A685C" w14:textId="77777777">
            <w:pPr>
              <w:rPr>
                <w:rFonts w:asciiTheme="minorHAnsi" w:hAnsiTheme="minorHAnsi"/>
              </w:rPr>
            </w:pPr>
            <w:r w:rsidRPr="006E33E6">
              <w:rPr>
                <w:rFonts w:asciiTheme="minorHAnsi" w:hAnsiTheme="minorHAnsi"/>
                <w:lang w:eastAsia="en-AU"/>
              </w:rPr>
              <w:t>[1CO 01.1] Consumers doesn’t know that a minimum selection of data clusters required to proceed.</w:t>
            </w:r>
          </w:p>
          <w:p w:rsidRPr="006E33E6" w:rsidR="00BD4CF4" w:rsidP="00317EA9" w:rsidRDefault="00BD4CF4" w14:paraId="51D26770" w14:textId="77777777">
            <w:pPr>
              <w:rPr>
                <w:rFonts w:asciiTheme="minorHAnsi" w:hAnsiTheme="minorHAnsi"/>
                <w:lang w:eastAsia="en-AU"/>
              </w:rPr>
            </w:pPr>
            <w:r w:rsidRPr="006E33E6">
              <w:rPr>
                <w:rFonts w:asciiTheme="minorHAnsi" w:hAnsiTheme="minorHAnsi"/>
                <w:lang w:eastAsia="en-AU"/>
              </w:rPr>
              <w:t>[1CO DH Selection 01] CTA button is inactive until selection is made</w:t>
            </w:r>
          </w:p>
        </w:tc>
      </w:tr>
      <w:tr w:rsidRPr="00317EA9" w:rsidR="00BD4CF4" w:rsidTr="002C1B01" w14:paraId="371AB192" w14:textId="77777777">
        <w:tc>
          <w:tcPr>
            <w:tcW w:w="9855" w:type="dxa"/>
            <w:gridSpan w:val="3"/>
            <w:shd w:val="clear" w:color="auto" w:fill="DC6900"/>
          </w:tcPr>
          <w:p w:rsidRPr="006E33E6" w:rsidR="00BD4CF4" w:rsidP="00317EA9" w:rsidRDefault="00BD4CF4" w14:paraId="4B31230E" w14:textId="77777777">
            <w:pPr>
              <w:rPr>
                <w:rFonts w:asciiTheme="minorHAnsi" w:hAnsiTheme="minorHAnsi"/>
                <w:b/>
                <w:bCs/>
                <w:sz w:val="24"/>
                <w:szCs w:val="24"/>
                <w:lang w:eastAsia="en-AU"/>
              </w:rPr>
            </w:pPr>
            <w:r w:rsidRPr="006E33E6">
              <w:rPr>
                <w:rFonts w:asciiTheme="minorHAnsi" w:hAnsiTheme="minorHAnsi"/>
                <w:b/>
                <w:bCs/>
                <w:sz w:val="24"/>
                <w:szCs w:val="24"/>
                <w:lang w:eastAsia="en-AU"/>
              </w:rPr>
              <w:t xml:space="preserve">Issue </w:t>
            </w:r>
            <w:r w:rsidRPr="006E33E6">
              <w:rPr>
                <w:rFonts w:asciiTheme="minorHAnsi" w:hAnsiTheme="minorHAnsi"/>
                <w:b/>
                <w:bCs/>
                <w:sz w:val="24"/>
                <w:szCs w:val="24"/>
              </w:rPr>
              <w:t>1</w:t>
            </w:r>
            <w:r w:rsidRPr="006E33E6">
              <w:rPr>
                <w:rFonts w:asciiTheme="minorHAnsi" w:hAnsiTheme="minorHAnsi"/>
                <w:b/>
                <w:bCs/>
                <w:sz w:val="24"/>
                <w:szCs w:val="24"/>
                <w:lang w:eastAsia="en-AU"/>
              </w:rPr>
              <w:t>.</w:t>
            </w:r>
            <w:r w:rsidRPr="006E33E6">
              <w:rPr>
                <w:rFonts w:asciiTheme="minorHAnsi" w:hAnsiTheme="minorHAnsi"/>
                <w:b/>
                <w:bCs/>
                <w:sz w:val="24"/>
                <w:szCs w:val="24"/>
              </w:rPr>
              <w:t>3</w:t>
            </w:r>
            <w:r w:rsidRPr="006E33E6">
              <w:rPr>
                <w:rFonts w:asciiTheme="minorHAnsi" w:hAnsiTheme="minorHAnsi"/>
                <w:b/>
                <w:bCs/>
                <w:sz w:val="24"/>
                <w:szCs w:val="24"/>
                <w:lang w:eastAsia="en-AU"/>
              </w:rPr>
              <w:t xml:space="preserve">: </w:t>
            </w:r>
            <w:r w:rsidRPr="006E33E6">
              <w:rPr>
                <w:rFonts w:asciiTheme="minorHAnsi" w:hAnsiTheme="minorHAnsi"/>
                <w:b/>
                <w:bCs/>
                <w:sz w:val="24"/>
                <w:szCs w:val="24"/>
              </w:rPr>
              <w:t>Indications of process continuity</w:t>
            </w:r>
          </w:p>
        </w:tc>
      </w:tr>
      <w:tr w:rsidRPr="00317EA9" w:rsidR="00BD4CF4" w:rsidTr="002C1B01" w14:paraId="221921CE" w14:textId="77777777">
        <w:tc>
          <w:tcPr>
            <w:tcW w:w="9855" w:type="dxa"/>
            <w:gridSpan w:val="3"/>
          </w:tcPr>
          <w:p w:rsidRPr="006E33E6" w:rsidR="00BD4CF4" w:rsidP="00317EA9" w:rsidRDefault="00BD4CF4" w14:paraId="161AED95" w14:textId="77777777">
            <w:pPr>
              <w:rPr>
                <w:rFonts w:asciiTheme="minorHAnsi" w:hAnsiTheme="minorHAnsi"/>
                <w:lang w:eastAsia="en-AU"/>
              </w:rPr>
            </w:pPr>
            <w:r w:rsidRPr="006E33E6">
              <w:rPr>
                <w:rFonts w:asciiTheme="minorHAnsi" w:hAnsiTheme="minorHAnsi"/>
              </w:rPr>
              <w:t>No clear indications of the requirements to continue when presented with options for selection. Consumers are more likely to make errors and need to back track. In the context of data privacy and consent, consumers should be provided with clear instructions about what they will be asked to do, and the information they will be asked to provide.</w:t>
            </w:r>
          </w:p>
        </w:tc>
      </w:tr>
      <w:tr w:rsidRPr="00317EA9" w:rsidR="00BD4CF4" w:rsidTr="002C1B01" w14:paraId="7AA9F9DE" w14:textId="77777777">
        <w:tc>
          <w:tcPr>
            <w:tcW w:w="2255" w:type="dxa"/>
            <w:gridSpan w:val="2"/>
          </w:tcPr>
          <w:p w:rsidRPr="006E33E6" w:rsidR="00BD4CF4" w:rsidP="00317EA9" w:rsidRDefault="00BD4CF4" w14:paraId="3932A9E9" w14:textId="77777777">
            <w:pPr>
              <w:rPr>
                <w:rFonts w:asciiTheme="minorHAnsi" w:hAnsiTheme="minorHAnsi"/>
                <w:lang w:val="en-US"/>
              </w:rPr>
            </w:pPr>
            <w:r w:rsidRPr="006E33E6">
              <w:rPr>
                <w:rFonts w:asciiTheme="minorHAnsi" w:hAnsiTheme="minorHAnsi"/>
              </w:rPr>
              <w:t>Recommendation</w:t>
            </w:r>
          </w:p>
        </w:tc>
        <w:tc>
          <w:tcPr>
            <w:tcW w:w="7600" w:type="dxa"/>
          </w:tcPr>
          <w:p w:rsidRPr="006E33E6" w:rsidR="00BD4CF4" w:rsidP="00317EA9" w:rsidRDefault="00BD4CF4" w14:paraId="67AD33D2" w14:textId="77777777">
            <w:pPr>
              <w:rPr>
                <w:rFonts w:asciiTheme="minorHAnsi" w:hAnsiTheme="minorHAnsi"/>
                <w:lang w:eastAsia="en-AU"/>
              </w:rPr>
            </w:pPr>
            <w:r w:rsidRPr="006E33E6">
              <w:rPr>
                <w:rFonts w:asciiTheme="minorHAnsi" w:hAnsiTheme="minorHAnsi"/>
              </w:rPr>
              <w:t>Include clear instructions or hints to help consumers understand what’s required to continue.</w:t>
            </w:r>
          </w:p>
        </w:tc>
      </w:tr>
      <w:tr w:rsidRPr="00317EA9" w:rsidR="00BD4CF4" w:rsidTr="002C1B01" w14:paraId="109B09BA" w14:textId="77777777">
        <w:tc>
          <w:tcPr>
            <w:tcW w:w="2255" w:type="dxa"/>
            <w:gridSpan w:val="2"/>
          </w:tcPr>
          <w:p w:rsidRPr="006E33E6" w:rsidR="00BD4CF4" w:rsidP="00317EA9" w:rsidRDefault="00BD4CF4" w14:paraId="65E3C025" w14:textId="77777777">
            <w:pPr>
              <w:rPr>
                <w:rFonts w:asciiTheme="minorHAnsi" w:hAnsiTheme="minorHAnsi"/>
              </w:rPr>
            </w:pPr>
            <w:r w:rsidRPr="006E33E6">
              <w:rPr>
                <w:rFonts w:asciiTheme="minorHAnsi" w:hAnsiTheme="minorHAnsi"/>
              </w:rPr>
              <w:t xml:space="preserve">Evidence, </w:t>
            </w:r>
            <w:proofErr w:type="gramStart"/>
            <w:r w:rsidRPr="006E33E6">
              <w:rPr>
                <w:rFonts w:asciiTheme="minorHAnsi" w:hAnsiTheme="minorHAnsi"/>
              </w:rPr>
              <w:t>examples</w:t>
            </w:r>
            <w:proofErr w:type="gramEnd"/>
            <w:r w:rsidRPr="006E33E6">
              <w:rPr>
                <w:rFonts w:asciiTheme="minorHAnsi" w:hAnsiTheme="minorHAnsi"/>
              </w:rPr>
              <w:t xml:space="preserve"> and alternatives</w:t>
            </w:r>
          </w:p>
        </w:tc>
        <w:tc>
          <w:tcPr>
            <w:tcW w:w="7600" w:type="dxa"/>
          </w:tcPr>
          <w:p w:rsidRPr="006E33E6" w:rsidR="00BD4CF4" w:rsidP="00317EA9" w:rsidRDefault="00BD4CF4" w14:paraId="6D4F2714" w14:textId="77777777">
            <w:pPr>
              <w:rPr>
                <w:rFonts w:asciiTheme="minorHAnsi" w:hAnsiTheme="minorHAnsi"/>
                <w:lang w:eastAsia="en-AU"/>
              </w:rPr>
            </w:pPr>
            <w:r w:rsidRPr="006E33E6">
              <w:rPr>
                <w:rFonts w:asciiTheme="minorHAnsi" w:hAnsiTheme="minorHAnsi"/>
              </w:rPr>
              <w:t>For example, replace “Who is your provider” with “Select your bank”.</w:t>
            </w:r>
          </w:p>
        </w:tc>
      </w:tr>
      <w:tr w:rsidRPr="00317EA9" w:rsidR="00BD4CF4" w:rsidTr="002C1B01" w14:paraId="375E7A9D" w14:textId="77777777">
        <w:tc>
          <w:tcPr>
            <w:tcW w:w="9855" w:type="dxa"/>
            <w:gridSpan w:val="3"/>
            <w:shd w:val="clear" w:color="auto" w:fill="DC6900"/>
          </w:tcPr>
          <w:p w:rsidRPr="006E33E6" w:rsidR="00BD4CF4" w:rsidP="00317EA9" w:rsidRDefault="00BD4CF4" w14:paraId="26D0E7EF" w14:textId="77777777">
            <w:pPr>
              <w:rPr>
                <w:rFonts w:asciiTheme="minorHAnsi" w:hAnsiTheme="minorHAnsi"/>
                <w:b/>
                <w:bCs/>
                <w:lang w:eastAsia="en-AU"/>
              </w:rPr>
            </w:pPr>
            <w:r w:rsidRPr="006E33E6">
              <w:rPr>
                <w:rFonts w:asciiTheme="minorHAnsi" w:hAnsiTheme="minorHAnsi"/>
                <w:b/>
                <w:bCs/>
                <w:sz w:val="24"/>
                <w:szCs w:val="24"/>
                <w:lang w:eastAsia="en-AU"/>
              </w:rPr>
              <w:t xml:space="preserve">Issue </w:t>
            </w:r>
            <w:r w:rsidRPr="006E33E6">
              <w:rPr>
                <w:rFonts w:asciiTheme="minorHAnsi" w:hAnsiTheme="minorHAnsi"/>
                <w:b/>
                <w:bCs/>
                <w:sz w:val="24"/>
                <w:szCs w:val="24"/>
              </w:rPr>
              <w:t>1</w:t>
            </w:r>
            <w:r w:rsidRPr="006E33E6">
              <w:rPr>
                <w:rFonts w:asciiTheme="minorHAnsi" w:hAnsiTheme="minorHAnsi"/>
                <w:b/>
                <w:bCs/>
                <w:sz w:val="24"/>
                <w:szCs w:val="24"/>
                <w:lang w:eastAsia="en-AU"/>
              </w:rPr>
              <w:t>.</w:t>
            </w:r>
            <w:r w:rsidRPr="006E33E6">
              <w:rPr>
                <w:rFonts w:asciiTheme="minorHAnsi" w:hAnsiTheme="minorHAnsi"/>
                <w:b/>
                <w:bCs/>
                <w:sz w:val="24"/>
                <w:szCs w:val="24"/>
              </w:rPr>
              <w:t>4</w:t>
            </w:r>
            <w:r w:rsidRPr="006E33E6">
              <w:rPr>
                <w:rFonts w:asciiTheme="minorHAnsi" w:hAnsiTheme="minorHAnsi"/>
                <w:b/>
                <w:bCs/>
                <w:sz w:val="24"/>
                <w:szCs w:val="24"/>
                <w:lang w:eastAsia="en-AU"/>
              </w:rPr>
              <w:t xml:space="preserve">: </w:t>
            </w:r>
            <w:r w:rsidRPr="006E33E6">
              <w:rPr>
                <w:rFonts w:asciiTheme="minorHAnsi" w:hAnsiTheme="minorHAnsi"/>
                <w:b/>
                <w:bCs/>
                <w:sz w:val="24"/>
                <w:szCs w:val="24"/>
              </w:rPr>
              <w:t>Form input fields</w:t>
            </w:r>
          </w:p>
        </w:tc>
      </w:tr>
      <w:tr w:rsidRPr="00317EA9" w:rsidR="00BD4CF4" w:rsidTr="002C1B01" w14:paraId="1E213ED3" w14:textId="77777777">
        <w:tc>
          <w:tcPr>
            <w:tcW w:w="9855" w:type="dxa"/>
            <w:gridSpan w:val="3"/>
          </w:tcPr>
          <w:p w:rsidRPr="00317EA9" w:rsidR="00BD4CF4" w:rsidP="00317EA9" w:rsidRDefault="00BD4CF4" w14:paraId="3E92BB1E" w14:textId="77777777">
            <w:pPr>
              <w:rPr>
                <w:rFonts w:asciiTheme="minorHAnsi" w:hAnsiTheme="minorHAnsi"/>
                <w:lang w:eastAsia="en-AU"/>
              </w:rPr>
            </w:pPr>
            <w:r w:rsidRPr="00317EA9">
              <w:rPr>
                <w:rFonts w:asciiTheme="minorHAnsi" w:hAnsiTheme="minorHAnsi"/>
              </w:rPr>
              <w:t>Consumers may need to select multiple options in single choice form input fields.</w:t>
            </w:r>
          </w:p>
        </w:tc>
      </w:tr>
      <w:tr w:rsidRPr="00317EA9" w:rsidR="00BD4CF4" w:rsidTr="002C1B01" w14:paraId="612D024F" w14:textId="77777777">
        <w:tc>
          <w:tcPr>
            <w:tcW w:w="2255" w:type="dxa"/>
            <w:gridSpan w:val="2"/>
          </w:tcPr>
          <w:p w:rsidRPr="00317EA9" w:rsidR="00BD4CF4" w:rsidP="00317EA9" w:rsidRDefault="00BD4CF4" w14:paraId="7C73DEB8" w14:textId="77777777">
            <w:pPr>
              <w:rPr>
                <w:rFonts w:asciiTheme="minorHAnsi" w:hAnsiTheme="minorHAnsi"/>
                <w:lang w:val="en-US"/>
              </w:rPr>
            </w:pPr>
            <w:r w:rsidRPr="00317EA9">
              <w:rPr>
                <w:rFonts w:asciiTheme="minorHAnsi" w:hAnsiTheme="minorHAnsi"/>
              </w:rPr>
              <w:t>Recommendation</w:t>
            </w:r>
          </w:p>
        </w:tc>
        <w:tc>
          <w:tcPr>
            <w:tcW w:w="7600" w:type="dxa"/>
          </w:tcPr>
          <w:p w:rsidRPr="00317EA9" w:rsidR="00BD4CF4" w:rsidP="00317EA9" w:rsidRDefault="00BD4CF4" w14:paraId="04343049" w14:textId="77777777">
            <w:pPr>
              <w:rPr>
                <w:rFonts w:asciiTheme="minorHAnsi" w:hAnsiTheme="minorHAnsi"/>
                <w:lang w:eastAsia="en-AU"/>
              </w:rPr>
            </w:pPr>
            <w:r w:rsidRPr="00317EA9">
              <w:rPr>
                <w:rFonts w:asciiTheme="minorHAnsi" w:hAnsiTheme="minorHAnsi"/>
              </w:rPr>
              <w:t>Review input fields and ensure they have appropriate flexibility for ease of use</w:t>
            </w:r>
            <w:r w:rsidRPr="00317EA9">
              <w:rPr>
                <w:rFonts w:asciiTheme="minorHAnsi" w:hAnsiTheme="minorHAnsi"/>
                <w:lang w:eastAsia="en-AU"/>
              </w:rPr>
              <w:t>.</w:t>
            </w:r>
          </w:p>
        </w:tc>
      </w:tr>
      <w:tr w:rsidRPr="00317EA9" w:rsidR="00BD4CF4" w:rsidTr="002C1B01" w14:paraId="5880E7BA" w14:textId="77777777">
        <w:tc>
          <w:tcPr>
            <w:tcW w:w="2255" w:type="dxa"/>
            <w:gridSpan w:val="2"/>
          </w:tcPr>
          <w:p w:rsidRPr="006E33E6" w:rsidR="00BD4CF4" w:rsidP="00317EA9" w:rsidRDefault="00BD4CF4" w14:paraId="16BE8DD5" w14:textId="77777777">
            <w:pPr>
              <w:rPr>
                <w:rFonts w:asciiTheme="minorHAnsi" w:hAnsiTheme="minorHAnsi"/>
              </w:rPr>
            </w:pPr>
            <w:r w:rsidRPr="006E33E6">
              <w:rPr>
                <w:rFonts w:asciiTheme="minorHAnsi" w:hAnsiTheme="minorHAnsi"/>
              </w:rPr>
              <w:t xml:space="preserve">Evidence, </w:t>
            </w:r>
            <w:proofErr w:type="gramStart"/>
            <w:r w:rsidRPr="006E33E6">
              <w:rPr>
                <w:rFonts w:asciiTheme="minorHAnsi" w:hAnsiTheme="minorHAnsi"/>
              </w:rPr>
              <w:t>examples</w:t>
            </w:r>
            <w:proofErr w:type="gramEnd"/>
            <w:r w:rsidRPr="006E33E6">
              <w:rPr>
                <w:rFonts w:asciiTheme="minorHAnsi" w:hAnsiTheme="minorHAnsi"/>
              </w:rPr>
              <w:t xml:space="preserve"> and alternatives</w:t>
            </w:r>
          </w:p>
        </w:tc>
        <w:tc>
          <w:tcPr>
            <w:tcW w:w="7600" w:type="dxa"/>
          </w:tcPr>
          <w:p w:rsidRPr="006E33E6" w:rsidR="00BD4CF4" w:rsidP="00317EA9" w:rsidRDefault="00BD4CF4" w14:paraId="2753E4E5" w14:textId="77777777">
            <w:pPr>
              <w:rPr>
                <w:rFonts w:asciiTheme="minorHAnsi" w:hAnsiTheme="minorHAnsi"/>
                <w:lang w:eastAsia="en-AU"/>
              </w:rPr>
            </w:pPr>
            <w:r w:rsidRPr="006E33E6">
              <w:rPr>
                <w:rFonts w:asciiTheme="minorHAnsi" w:hAnsiTheme="minorHAnsi"/>
              </w:rPr>
              <w:t>[1CO DH Selection 01] Single choice radio buttons used for providers. What if consumers have multiple providers?</w:t>
            </w:r>
          </w:p>
        </w:tc>
      </w:tr>
      <w:tr w:rsidRPr="00317EA9" w:rsidR="00BD4CF4" w:rsidTr="002C1B01" w14:paraId="06D30E2A" w14:textId="77777777">
        <w:tc>
          <w:tcPr>
            <w:tcW w:w="9855" w:type="dxa"/>
            <w:gridSpan w:val="3"/>
            <w:shd w:val="clear" w:color="auto" w:fill="DC6900"/>
          </w:tcPr>
          <w:p w:rsidRPr="006E33E6" w:rsidR="00BD4CF4" w:rsidP="00317EA9" w:rsidRDefault="00BD4CF4" w14:paraId="6446AFCC" w14:textId="77777777">
            <w:pPr>
              <w:rPr>
                <w:rFonts w:asciiTheme="minorHAnsi" w:hAnsiTheme="minorHAnsi"/>
                <w:b/>
                <w:bCs/>
                <w:sz w:val="24"/>
                <w:szCs w:val="24"/>
                <w:lang w:eastAsia="en-AU"/>
              </w:rPr>
            </w:pPr>
            <w:r w:rsidRPr="006E33E6">
              <w:rPr>
                <w:rFonts w:asciiTheme="minorHAnsi" w:hAnsiTheme="minorHAnsi"/>
                <w:b/>
                <w:bCs/>
                <w:sz w:val="24"/>
                <w:szCs w:val="24"/>
                <w:lang w:eastAsia="en-AU"/>
              </w:rPr>
              <w:t xml:space="preserve">Issue </w:t>
            </w:r>
            <w:r w:rsidRPr="006E33E6">
              <w:rPr>
                <w:rFonts w:asciiTheme="minorHAnsi" w:hAnsiTheme="minorHAnsi"/>
                <w:b/>
                <w:bCs/>
                <w:sz w:val="24"/>
                <w:szCs w:val="24"/>
              </w:rPr>
              <w:t>1</w:t>
            </w:r>
            <w:r w:rsidRPr="006E33E6">
              <w:rPr>
                <w:rFonts w:asciiTheme="minorHAnsi" w:hAnsiTheme="minorHAnsi"/>
                <w:b/>
                <w:bCs/>
                <w:sz w:val="24"/>
                <w:szCs w:val="24"/>
                <w:lang w:eastAsia="en-AU"/>
              </w:rPr>
              <w:t>.</w:t>
            </w:r>
            <w:r w:rsidRPr="006E33E6">
              <w:rPr>
                <w:rFonts w:asciiTheme="minorHAnsi" w:hAnsiTheme="minorHAnsi"/>
                <w:b/>
                <w:bCs/>
                <w:sz w:val="24"/>
                <w:szCs w:val="24"/>
              </w:rPr>
              <w:t>5</w:t>
            </w:r>
            <w:r w:rsidRPr="006E33E6">
              <w:rPr>
                <w:rFonts w:asciiTheme="minorHAnsi" w:hAnsiTheme="minorHAnsi"/>
                <w:b/>
                <w:bCs/>
                <w:sz w:val="24"/>
                <w:szCs w:val="24"/>
                <w:lang w:eastAsia="en-AU"/>
              </w:rPr>
              <w:t xml:space="preserve">: </w:t>
            </w:r>
            <w:r w:rsidRPr="006E33E6">
              <w:rPr>
                <w:rFonts w:asciiTheme="minorHAnsi" w:hAnsiTheme="minorHAnsi"/>
                <w:b/>
                <w:bCs/>
                <w:sz w:val="24"/>
                <w:szCs w:val="24"/>
              </w:rPr>
              <w:t>Information load</w:t>
            </w:r>
          </w:p>
        </w:tc>
      </w:tr>
      <w:tr w:rsidRPr="00317EA9" w:rsidR="00BD4CF4" w:rsidTr="002C1B01" w14:paraId="5FDB1878" w14:textId="77777777">
        <w:tc>
          <w:tcPr>
            <w:tcW w:w="9855" w:type="dxa"/>
            <w:gridSpan w:val="3"/>
          </w:tcPr>
          <w:p w:rsidRPr="006E33E6" w:rsidR="00BD4CF4" w:rsidP="00317EA9" w:rsidRDefault="00BD4CF4" w14:paraId="0D0ED916" w14:textId="77777777">
            <w:pPr>
              <w:rPr>
                <w:rFonts w:asciiTheme="minorHAnsi" w:hAnsiTheme="minorHAnsi"/>
              </w:rPr>
            </w:pPr>
            <w:r w:rsidRPr="006E33E6">
              <w:rPr>
                <w:rFonts w:asciiTheme="minorHAnsi" w:hAnsiTheme="minorHAnsi"/>
              </w:rPr>
              <w:t>Information overload combined with a complicated form to complete.</w:t>
            </w:r>
          </w:p>
          <w:p w:rsidR="007C6FE2" w:rsidP="00317EA9" w:rsidRDefault="007C6FE2" w14:paraId="101F3E6D" w14:textId="77777777">
            <w:pPr>
              <w:rPr>
                <w:rFonts w:asciiTheme="minorHAnsi" w:hAnsiTheme="minorHAnsi"/>
                <w:lang w:eastAsia="en-AU"/>
              </w:rPr>
            </w:pPr>
          </w:p>
          <w:p w:rsidRPr="006E33E6" w:rsidR="009E6E9F" w:rsidP="00317EA9" w:rsidRDefault="009E6E9F" w14:paraId="69D307B2" w14:textId="31D69502">
            <w:pPr>
              <w:rPr>
                <w:rFonts w:asciiTheme="minorHAnsi" w:hAnsiTheme="minorHAnsi"/>
                <w:lang w:eastAsia="en-AU"/>
              </w:rPr>
            </w:pPr>
          </w:p>
        </w:tc>
      </w:tr>
      <w:tr w:rsidRPr="00317EA9" w:rsidR="00BD4CF4" w:rsidTr="002C1B01" w14:paraId="1014FC86" w14:textId="77777777">
        <w:tc>
          <w:tcPr>
            <w:tcW w:w="9855" w:type="dxa"/>
            <w:gridSpan w:val="3"/>
            <w:shd w:val="clear" w:color="auto" w:fill="DC6900" w:themeFill="accent1"/>
          </w:tcPr>
          <w:p w:rsidRPr="006E33E6" w:rsidR="00BD4CF4" w:rsidP="00317EA9" w:rsidRDefault="00BD4CF4" w14:paraId="4C69E762" w14:textId="77777777">
            <w:pPr>
              <w:rPr>
                <w:rFonts w:asciiTheme="minorHAnsi" w:hAnsiTheme="minorHAnsi"/>
                <w:b/>
                <w:bCs/>
                <w:sz w:val="24"/>
                <w:szCs w:val="24"/>
              </w:rPr>
            </w:pPr>
            <w:r w:rsidRPr="006E33E6">
              <w:rPr>
                <w:rFonts w:asciiTheme="minorHAnsi" w:hAnsiTheme="minorHAnsi"/>
                <w:b/>
                <w:bCs/>
                <w:sz w:val="24"/>
                <w:szCs w:val="24"/>
              </w:rPr>
              <w:lastRenderedPageBreak/>
              <w:t>Issue theme 2: Language</w:t>
            </w:r>
          </w:p>
          <w:p w:rsidRPr="006E33E6" w:rsidR="00BD4CF4" w:rsidP="00317EA9" w:rsidRDefault="00BD4CF4" w14:paraId="15DE66A8" w14:textId="77777777">
            <w:pPr>
              <w:rPr>
                <w:rFonts w:asciiTheme="minorHAnsi" w:hAnsiTheme="minorHAnsi"/>
              </w:rPr>
            </w:pPr>
            <w:r w:rsidRPr="006E33E6">
              <w:rPr>
                <w:rFonts w:asciiTheme="minorHAnsi" w:hAnsiTheme="minorHAnsi"/>
                <w:b/>
                <w:bCs/>
                <w:sz w:val="24"/>
                <w:szCs w:val="24"/>
              </w:rPr>
              <w:t>Issue 2.1: Jargon and unfamiliar language</w:t>
            </w:r>
          </w:p>
        </w:tc>
      </w:tr>
      <w:tr w:rsidRPr="00317EA9" w:rsidR="00BD4CF4" w:rsidTr="002C1B01" w14:paraId="74C7247F" w14:textId="77777777">
        <w:tc>
          <w:tcPr>
            <w:tcW w:w="9855" w:type="dxa"/>
            <w:gridSpan w:val="3"/>
          </w:tcPr>
          <w:p w:rsidRPr="006E33E6" w:rsidR="00BD4CF4" w:rsidP="00317EA9" w:rsidRDefault="00BD4CF4" w14:paraId="10284AB8" w14:textId="77777777">
            <w:pPr>
              <w:rPr>
                <w:rFonts w:asciiTheme="minorHAnsi" w:hAnsiTheme="minorHAnsi"/>
                <w:lang w:eastAsia="en-AU"/>
              </w:rPr>
            </w:pPr>
            <w:r w:rsidRPr="006E33E6">
              <w:rPr>
                <w:rFonts w:asciiTheme="minorHAnsi" w:hAnsiTheme="minorHAnsi"/>
                <w:lang w:eastAsia="en-AU"/>
              </w:rPr>
              <w:t>Words and phrases used may confuse consumers due to jargon and unfamiliar concepts for the everyday consumer. Consumers with low English and financial literacy may struggle to understand what’s asked of them.</w:t>
            </w:r>
          </w:p>
        </w:tc>
      </w:tr>
      <w:tr w:rsidRPr="00317EA9" w:rsidR="00BD4CF4" w:rsidTr="002C1B01" w14:paraId="17A0B9B8" w14:textId="77777777">
        <w:tc>
          <w:tcPr>
            <w:tcW w:w="2247" w:type="dxa"/>
          </w:tcPr>
          <w:p w:rsidRPr="006E33E6" w:rsidR="00BD4CF4" w:rsidP="00317EA9" w:rsidRDefault="00BD4CF4" w14:paraId="16D00A0F" w14:textId="77777777">
            <w:pPr>
              <w:rPr>
                <w:rFonts w:asciiTheme="minorHAnsi" w:hAnsiTheme="minorHAnsi"/>
                <w:lang w:val="en-US"/>
              </w:rPr>
            </w:pPr>
            <w:r w:rsidRPr="006E33E6">
              <w:rPr>
                <w:rFonts w:asciiTheme="minorHAnsi" w:hAnsiTheme="minorHAnsi"/>
              </w:rPr>
              <w:t>Recommendation</w:t>
            </w:r>
          </w:p>
          <w:p w:rsidRPr="006E33E6" w:rsidR="00BD4CF4" w:rsidP="00317EA9" w:rsidRDefault="00BD4CF4" w14:paraId="461EA6E8" w14:textId="77777777">
            <w:pPr>
              <w:rPr>
                <w:rFonts w:asciiTheme="minorHAnsi" w:hAnsiTheme="minorHAnsi"/>
                <w:lang w:val="en-US"/>
              </w:rPr>
            </w:pPr>
          </w:p>
        </w:tc>
        <w:tc>
          <w:tcPr>
            <w:tcW w:w="7608" w:type="dxa"/>
            <w:gridSpan w:val="2"/>
          </w:tcPr>
          <w:p w:rsidRPr="006E33E6" w:rsidR="00BD4CF4" w:rsidP="00317EA9" w:rsidRDefault="00BD4CF4" w14:paraId="20F5FABC" w14:textId="77777777">
            <w:pPr>
              <w:rPr>
                <w:rFonts w:asciiTheme="minorHAnsi" w:hAnsiTheme="minorHAnsi"/>
                <w:lang w:eastAsia="en-AU"/>
              </w:rPr>
            </w:pPr>
            <w:r w:rsidRPr="006E33E6">
              <w:rPr>
                <w:rFonts w:asciiTheme="minorHAnsi" w:hAnsiTheme="minorHAnsi"/>
                <w:lang w:eastAsia="en-AU"/>
              </w:rPr>
              <w:t>Use everyday language and terminology familiar with consumers’ existing mental models about financial data.</w:t>
            </w:r>
          </w:p>
        </w:tc>
      </w:tr>
      <w:tr w:rsidRPr="00317EA9" w:rsidR="00BD4CF4" w:rsidTr="002C1B01" w14:paraId="256AEC09" w14:textId="77777777">
        <w:tc>
          <w:tcPr>
            <w:tcW w:w="2247" w:type="dxa"/>
          </w:tcPr>
          <w:p w:rsidRPr="006E33E6" w:rsidR="00BD4CF4" w:rsidP="00317EA9" w:rsidRDefault="00BD4CF4" w14:paraId="0C017CE5" w14:textId="77777777">
            <w:pPr>
              <w:rPr>
                <w:rFonts w:asciiTheme="minorHAnsi" w:hAnsiTheme="minorHAnsi"/>
              </w:rPr>
            </w:pPr>
            <w:r w:rsidRPr="006E33E6">
              <w:rPr>
                <w:rFonts w:asciiTheme="minorHAnsi" w:hAnsiTheme="minorHAnsi"/>
              </w:rPr>
              <w:t xml:space="preserve">Evidence, </w:t>
            </w:r>
            <w:proofErr w:type="gramStart"/>
            <w:r w:rsidRPr="006E33E6">
              <w:rPr>
                <w:rFonts w:asciiTheme="minorHAnsi" w:hAnsiTheme="minorHAnsi"/>
              </w:rPr>
              <w:t>examples</w:t>
            </w:r>
            <w:proofErr w:type="gramEnd"/>
            <w:r w:rsidRPr="006E33E6">
              <w:rPr>
                <w:rFonts w:asciiTheme="minorHAnsi" w:hAnsiTheme="minorHAnsi"/>
              </w:rPr>
              <w:t xml:space="preserve"> and alternatives</w:t>
            </w:r>
          </w:p>
        </w:tc>
        <w:tc>
          <w:tcPr>
            <w:tcW w:w="7608" w:type="dxa"/>
            <w:gridSpan w:val="2"/>
          </w:tcPr>
          <w:p w:rsidRPr="006E33E6" w:rsidR="00BD4CF4" w:rsidP="00317EA9" w:rsidRDefault="00BD4CF4" w14:paraId="302127BF" w14:textId="77777777">
            <w:pPr>
              <w:rPr>
                <w:rFonts w:asciiTheme="minorHAnsi" w:hAnsiTheme="minorHAnsi"/>
                <w:lang w:eastAsia="en-AU"/>
              </w:rPr>
            </w:pPr>
            <w:r w:rsidRPr="006E33E6">
              <w:rPr>
                <w:rFonts w:asciiTheme="minorHAnsi" w:hAnsiTheme="minorHAnsi"/>
                <w:lang w:eastAsia="en-AU"/>
              </w:rPr>
              <w:t>[1CO DH Selection 01] “Who is your provider?”</w:t>
            </w:r>
          </w:p>
          <w:p w:rsidRPr="006E33E6" w:rsidR="00BD4CF4" w:rsidP="00317EA9" w:rsidRDefault="00BD4CF4" w14:paraId="02FE99F7" w14:textId="77777777">
            <w:pPr>
              <w:rPr>
                <w:rFonts w:asciiTheme="minorHAnsi" w:hAnsiTheme="minorHAnsi"/>
                <w:lang w:eastAsia="en-AU"/>
              </w:rPr>
            </w:pPr>
            <w:r w:rsidRPr="006E33E6">
              <w:rPr>
                <w:rFonts w:asciiTheme="minorHAnsi" w:hAnsiTheme="minorHAnsi"/>
                <w:lang w:eastAsia="en-AU"/>
              </w:rPr>
              <w:t>Suggested alternatives for the example:</w:t>
            </w:r>
          </w:p>
          <w:p w:rsidRPr="006E33E6" w:rsidR="00BD4CF4" w:rsidP="00317EA9" w:rsidRDefault="00BD4CF4" w14:paraId="7C654875" w14:textId="77777777">
            <w:pPr>
              <w:rPr>
                <w:rFonts w:asciiTheme="minorHAnsi" w:hAnsiTheme="minorHAnsi"/>
                <w:lang w:eastAsia="en-AU"/>
              </w:rPr>
            </w:pPr>
            <w:r w:rsidRPr="006E33E6">
              <w:rPr>
                <w:rFonts w:asciiTheme="minorHAnsi" w:hAnsiTheme="minorHAnsi"/>
                <w:lang w:eastAsia="en-AU"/>
              </w:rPr>
              <w:t xml:space="preserve">Select your bank. </w:t>
            </w:r>
          </w:p>
          <w:p w:rsidRPr="006E33E6" w:rsidR="00BD4CF4" w:rsidP="00317EA9" w:rsidRDefault="00BD4CF4" w14:paraId="5499A565" w14:textId="77777777">
            <w:pPr>
              <w:rPr>
                <w:rFonts w:asciiTheme="minorHAnsi" w:hAnsiTheme="minorHAnsi"/>
                <w:lang w:eastAsia="en-AU"/>
              </w:rPr>
            </w:pPr>
            <w:r w:rsidRPr="006E33E6">
              <w:rPr>
                <w:rFonts w:asciiTheme="minorHAnsi" w:hAnsiTheme="minorHAnsi"/>
                <w:lang w:eastAsia="en-AU"/>
              </w:rPr>
              <w:t>Which bank do you have accounts with</w:t>
            </w:r>
          </w:p>
        </w:tc>
      </w:tr>
      <w:tr w:rsidRPr="00317EA9" w:rsidR="00BD4CF4" w:rsidTr="002C1B01" w14:paraId="6B1E2ED7" w14:textId="77777777">
        <w:tc>
          <w:tcPr>
            <w:tcW w:w="9855" w:type="dxa"/>
            <w:gridSpan w:val="3"/>
            <w:shd w:val="clear" w:color="auto" w:fill="DC6900" w:themeFill="text2"/>
          </w:tcPr>
          <w:p w:rsidRPr="006E33E6" w:rsidR="00BD4CF4" w:rsidP="00317EA9" w:rsidRDefault="00BD4CF4" w14:paraId="11EDCEAB" w14:textId="77777777">
            <w:pPr>
              <w:rPr>
                <w:rFonts w:asciiTheme="minorHAnsi" w:hAnsiTheme="minorHAnsi"/>
                <w:b/>
                <w:bCs/>
                <w:lang w:eastAsia="en-AU"/>
              </w:rPr>
            </w:pPr>
            <w:r w:rsidRPr="006E33E6">
              <w:rPr>
                <w:rFonts w:asciiTheme="minorHAnsi" w:hAnsiTheme="minorHAnsi"/>
                <w:b/>
                <w:bCs/>
                <w:sz w:val="24"/>
                <w:szCs w:val="24"/>
                <w:lang w:eastAsia="en-AU"/>
              </w:rPr>
              <w:t>Issue 2.2: Inconsistent language</w:t>
            </w:r>
          </w:p>
        </w:tc>
      </w:tr>
      <w:tr w:rsidRPr="00317EA9" w:rsidR="00BD4CF4" w:rsidTr="002C1B01" w14:paraId="62A11F59" w14:textId="77777777">
        <w:tc>
          <w:tcPr>
            <w:tcW w:w="9855" w:type="dxa"/>
            <w:gridSpan w:val="3"/>
          </w:tcPr>
          <w:p w:rsidRPr="006E33E6" w:rsidR="00BD4CF4" w:rsidP="00317EA9" w:rsidRDefault="00BD4CF4" w14:paraId="7FF7DB33" w14:textId="77777777">
            <w:pPr>
              <w:rPr>
                <w:rFonts w:asciiTheme="minorHAnsi" w:hAnsiTheme="minorHAnsi"/>
                <w:lang w:eastAsia="en-AU"/>
              </w:rPr>
            </w:pPr>
            <w:r w:rsidRPr="006E33E6">
              <w:rPr>
                <w:rFonts w:asciiTheme="minorHAnsi" w:hAnsiTheme="minorHAnsi"/>
                <w:lang w:eastAsia="en-AU"/>
              </w:rPr>
              <w:t>Inconsistent language used for the same information about consent also causes confusion.</w:t>
            </w:r>
          </w:p>
        </w:tc>
      </w:tr>
      <w:tr w:rsidRPr="00317EA9" w:rsidR="00BD4CF4" w:rsidTr="002C1B01" w14:paraId="080F88FF" w14:textId="77777777">
        <w:tc>
          <w:tcPr>
            <w:tcW w:w="2247" w:type="dxa"/>
          </w:tcPr>
          <w:p w:rsidRPr="006E33E6" w:rsidR="00BD4CF4" w:rsidP="00317EA9" w:rsidRDefault="00BD4CF4" w14:paraId="5A3C81DB" w14:textId="77777777">
            <w:pPr>
              <w:rPr>
                <w:rFonts w:asciiTheme="minorHAnsi" w:hAnsiTheme="minorHAnsi"/>
                <w:lang w:val="en-US"/>
              </w:rPr>
            </w:pPr>
            <w:r w:rsidRPr="006E33E6">
              <w:rPr>
                <w:rFonts w:asciiTheme="minorHAnsi" w:hAnsiTheme="minorHAnsi"/>
              </w:rPr>
              <w:t>Recommendation</w:t>
            </w:r>
          </w:p>
        </w:tc>
        <w:tc>
          <w:tcPr>
            <w:tcW w:w="7608" w:type="dxa"/>
            <w:gridSpan w:val="2"/>
          </w:tcPr>
          <w:p w:rsidRPr="006E33E6" w:rsidR="00BD4CF4" w:rsidP="00317EA9" w:rsidRDefault="00BD4CF4" w14:paraId="5E4E974F" w14:textId="77777777">
            <w:pPr>
              <w:rPr>
                <w:rFonts w:asciiTheme="minorHAnsi" w:hAnsiTheme="minorHAnsi"/>
                <w:lang w:eastAsia="en-AU"/>
              </w:rPr>
            </w:pPr>
            <w:r w:rsidRPr="006E33E6">
              <w:rPr>
                <w:rFonts w:asciiTheme="minorHAnsi" w:hAnsiTheme="minorHAnsi"/>
                <w:lang w:eastAsia="en-AU"/>
              </w:rPr>
              <w:t xml:space="preserve">Whilst we understand that the Rules distinguish between various types of consent, this is confusing to consumers, therefore we recommend using consistent language </w:t>
            </w:r>
            <w:proofErr w:type="gramStart"/>
            <w:r w:rsidRPr="006E33E6">
              <w:rPr>
                <w:rFonts w:asciiTheme="minorHAnsi" w:hAnsiTheme="minorHAnsi"/>
                <w:lang w:eastAsia="en-AU"/>
              </w:rPr>
              <w:t>in order to</w:t>
            </w:r>
            <w:proofErr w:type="gramEnd"/>
            <w:r w:rsidRPr="006E33E6">
              <w:rPr>
                <w:rFonts w:asciiTheme="minorHAnsi" w:hAnsiTheme="minorHAnsi"/>
                <w:lang w:eastAsia="en-AU"/>
              </w:rPr>
              <w:t xml:space="preserve"> help consumers comprehend the process.</w:t>
            </w:r>
          </w:p>
        </w:tc>
      </w:tr>
      <w:tr w:rsidRPr="00317EA9" w:rsidR="00BD4CF4" w:rsidTr="002C1B01" w14:paraId="027098F3" w14:textId="77777777">
        <w:tc>
          <w:tcPr>
            <w:tcW w:w="2247" w:type="dxa"/>
          </w:tcPr>
          <w:p w:rsidRPr="006E33E6" w:rsidR="00BD4CF4" w:rsidP="00317EA9" w:rsidRDefault="00BD4CF4" w14:paraId="57074333" w14:textId="77777777">
            <w:pPr>
              <w:rPr>
                <w:rFonts w:asciiTheme="minorHAnsi" w:hAnsiTheme="minorHAnsi"/>
              </w:rPr>
            </w:pPr>
            <w:r w:rsidRPr="006E33E6">
              <w:rPr>
                <w:rFonts w:asciiTheme="minorHAnsi" w:hAnsiTheme="minorHAnsi"/>
              </w:rPr>
              <w:t xml:space="preserve">Evidence, </w:t>
            </w:r>
            <w:proofErr w:type="gramStart"/>
            <w:r w:rsidRPr="006E33E6">
              <w:rPr>
                <w:rFonts w:asciiTheme="minorHAnsi" w:hAnsiTheme="minorHAnsi"/>
              </w:rPr>
              <w:t>examples</w:t>
            </w:r>
            <w:proofErr w:type="gramEnd"/>
            <w:r w:rsidRPr="006E33E6">
              <w:rPr>
                <w:rFonts w:asciiTheme="minorHAnsi" w:hAnsiTheme="minorHAnsi"/>
              </w:rPr>
              <w:t xml:space="preserve"> and alternatives</w:t>
            </w:r>
          </w:p>
        </w:tc>
        <w:tc>
          <w:tcPr>
            <w:tcW w:w="7608" w:type="dxa"/>
            <w:gridSpan w:val="2"/>
          </w:tcPr>
          <w:p w:rsidRPr="006E33E6" w:rsidR="00BD4CF4" w:rsidP="00317EA9" w:rsidRDefault="00BD4CF4" w14:paraId="4CA9EDF1" w14:textId="77777777">
            <w:pPr>
              <w:rPr>
                <w:rFonts w:asciiTheme="minorHAnsi" w:hAnsiTheme="minorHAnsi"/>
                <w:lang w:eastAsia="en-AU"/>
              </w:rPr>
            </w:pPr>
            <w:r w:rsidRPr="006E33E6">
              <w:rPr>
                <w:rFonts w:asciiTheme="minorHAnsi" w:hAnsiTheme="minorHAnsi"/>
                <w:lang w:eastAsia="en-AU"/>
              </w:rPr>
              <w:t>[1CO Consent to collect] and [3AU Confirmation] asking for consent in different ways:</w:t>
            </w:r>
          </w:p>
          <w:p w:rsidRPr="006E33E6" w:rsidR="00BD4CF4" w:rsidP="00317EA9" w:rsidRDefault="00BD4CF4" w14:paraId="2E1A1E67" w14:textId="77777777">
            <w:pPr>
              <w:rPr>
                <w:rFonts w:asciiTheme="minorHAnsi" w:hAnsiTheme="minorHAnsi"/>
                <w:lang w:eastAsia="en-AU"/>
              </w:rPr>
            </w:pPr>
            <w:r w:rsidRPr="006E33E6">
              <w:rPr>
                <w:rFonts w:asciiTheme="minorHAnsi" w:hAnsiTheme="minorHAnsi"/>
                <w:lang w:eastAsia="en-AU"/>
              </w:rPr>
              <w:t xml:space="preserve">“Do you </w:t>
            </w:r>
            <w:r w:rsidRPr="006E33E6">
              <w:rPr>
                <w:rFonts w:asciiTheme="minorHAnsi" w:hAnsiTheme="minorHAnsi"/>
                <w:i/>
                <w:iCs/>
                <w:u w:val="single"/>
                <w:lang w:eastAsia="en-AU"/>
              </w:rPr>
              <w:t>consent</w:t>
            </w:r>
            <w:r w:rsidRPr="006E33E6">
              <w:rPr>
                <w:rFonts w:asciiTheme="minorHAnsi" w:hAnsiTheme="minorHAnsi"/>
                <w:i/>
                <w:iCs/>
                <w:u w:val="single"/>
              </w:rPr>
              <w:t xml:space="preserve"> </w:t>
            </w:r>
            <w:r w:rsidRPr="006E33E6">
              <w:rPr>
                <w:rFonts w:asciiTheme="minorHAnsi" w:hAnsiTheme="minorHAnsi"/>
                <w:i/>
                <w:iCs/>
                <w:u w:val="single"/>
                <w:lang w:eastAsia="en-AU"/>
              </w:rPr>
              <w:t>to us</w:t>
            </w:r>
            <w:r w:rsidRPr="006E33E6">
              <w:rPr>
                <w:rFonts w:asciiTheme="minorHAnsi" w:hAnsiTheme="minorHAnsi"/>
                <w:lang w:eastAsia="en-AU"/>
              </w:rPr>
              <w:t xml:space="preserve"> collecting and using your data? </w:t>
            </w:r>
            <w:r w:rsidRPr="006E33E6">
              <w:rPr>
                <w:rFonts w:asciiTheme="minorHAnsi" w:hAnsiTheme="minorHAnsi"/>
                <w:u w:val="single"/>
                <w:lang w:eastAsia="en-AU"/>
              </w:rPr>
              <w:t>Consent</w:t>
            </w:r>
            <w:r w:rsidRPr="006E33E6">
              <w:rPr>
                <w:rFonts w:asciiTheme="minorHAnsi" w:hAnsiTheme="minorHAnsi"/>
                <w:lang w:eastAsia="en-AU"/>
              </w:rPr>
              <w:t xml:space="preserve"> / Deny”</w:t>
            </w:r>
          </w:p>
          <w:p w:rsidRPr="006E33E6" w:rsidR="00BD4CF4" w:rsidP="00317EA9" w:rsidRDefault="00BD4CF4" w14:paraId="3B0D25D1" w14:textId="77777777">
            <w:pPr>
              <w:rPr>
                <w:rFonts w:asciiTheme="minorHAnsi" w:hAnsiTheme="minorHAnsi"/>
                <w:lang w:eastAsia="en-AU"/>
              </w:rPr>
            </w:pPr>
            <w:r w:rsidRPr="006E33E6">
              <w:rPr>
                <w:rFonts w:asciiTheme="minorHAnsi" w:hAnsiTheme="minorHAnsi"/>
                <w:lang w:eastAsia="en-AU"/>
              </w:rPr>
              <w:t xml:space="preserve"> “Do you </w:t>
            </w:r>
            <w:r w:rsidRPr="006E33E6">
              <w:rPr>
                <w:rFonts w:asciiTheme="minorHAnsi" w:hAnsiTheme="minorHAnsi"/>
                <w:i/>
                <w:iCs/>
                <w:u w:val="single"/>
                <w:lang w:eastAsia="en-AU"/>
              </w:rPr>
              <w:t>allow us</w:t>
            </w:r>
            <w:r w:rsidRPr="006E33E6">
              <w:rPr>
                <w:rFonts w:asciiTheme="minorHAnsi" w:hAnsiTheme="minorHAnsi"/>
                <w:u w:val="single"/>
                <w:lang w:eastAsia="en-AU"/>
              </w:rPr>
              <w:t xml:space="preserve"> to</w:t>
            </w:r>
            <w:r w:rsidRPr="006E33E6">
              <w:rPr>
                <w:rFonts w:asciiTheme="minorHAnsi" w:hAnsiTheme="minorHAnsi"/>
                <w:lang w:eastAsia="en-AU"/>
              </w:rPr>
              <w:t xml:space="preserve"> share your data with [ADR]? </w:t>
            </w:r>
            <w:r w:rsidRPr="006E33E6">
              <w:rPr>
                <w:rFonts w:asciiTheme="minorHAnsi" w:hAnsiTheme="minorHAnsi"/>
                <w:u w:val="single"/>
                <w:lang w:eastAsia="en-AU"/>
              </w:rPr>
              <w:t>Authorise</w:t>
            </w:r>
            <w:r w:rsidRPr="006E33E6">
              <w:rPr>
                <w:rFonts w:asciiTheme="minorHAnsi" w:hAnsiTheme="minorHAnsi"/>
                <w:lang w:eastAsia="en-AU"/>
              </w:rPr>
              <w:t xml:space="preserve"> / Deny”</w:t>
            </w:r>
          </w:p>
        </w:tc>
      </w:tr>
      <w:tr w:rsidRPr="00317EA9" w:rsidR="00BD4CF4" w:rsidTr="002C1B01" w14:paraId="36313E58" w14:textId="77777777">
        <w:tc>
          <w:tcPr>
            <w:tcW w:w="9855" w:type="dxa"/>
            <w:gridSpan w:val="3"/>
            <w:shd w:val="clear" w:color="auto" w:fill="DC6900" w:themeFill="text2"/>
          </w:tcPr>
          <w:p w:rsidRPr="006E33E6" w:rsidR="00BD4CF4" w:rsidP="00317EA9" w:rsidRDefault="00BD4CF4" w14:paraId="34A84379" w14:textId="77777777">
            <w:pPr>
              <w:rPr>
                <w:rFonts w:asciiTheme="minorHAnsi" w:hAnsiTheme="minorHAnsi"/>
                <w:b/>
                <w:bCs/>
                <w:sz w:val="24"/>
                <w:szCs w:val="24"/>
              </w:rPr>
            </w:pPr>
            <w:r w:rsidRPr="006E33E6">
              <w:rPr>
                <w:rFonts w:asciiTheme="minorHAnsi" w:hAnsiTheme="minorHAnsi"/>
                <w:b/>
                <w:bCs/>
                <w:sz w:val="24"/>
                <w:szCs w:val="24"/>
              </w:rPr>
              <w:t>Issue 2.3: Labelling of call-to-action buttons</w:t>
            </w:r>
          </w:p>
        </w:tc>
      </w:tr>
      <w:tr w:rsidRPr="00317EA9" w:rsidR="00BD4CF4" w:rsidTr="002C1B01" w14:paraId="7606AEA9" w14:textId="77777777">
        <w:tc>
          <w:tcPr>
            <w:tcW w:w="9855" w:type="dxa"/>
            <w:gridSpan w:val="3"/>
          </w:tcPr>
          <w:p w:rsidRPr="006E33E6" w:rsidR="00BD4CF4" w:rsidP="00317EA9" w:rsidRDefault="00BD4CF4" w14:paraId="1A318818" w14:textId="77777777">
            <w:pPr>
              <w:rPr>
                <w:rFonts w:asciiTheme="minorHAnsi" w:hAnsiTheme="minorHAnsi"/>
                <w:lang w:eastAsia="en-AU"/>
              </w:rPr>
            </w:pPr>
            <w:r w:rsidRPr="006E33E6">
              <w:rPr>
                <w:rFonts w:asciiTheme="minorHAnsi" w:hAnsiTheme="minorHAnsi"/>
                <w:lang w:eastAsia="en-AU"/>
              </w:rPr>
              <w:t>Mismatch between the question asked and labelling of call-to-action (CTA) buttons adds friction.</w:t>
            </w:r>
          </w:p>
          <w:p w:rsidRPr="006E33E6" w:rsidR="00BD4CF4" w:rsidP="00317EA9" w:rsidRDefault="00BD4CF4" w14:paraId="793EB730" w14:textId="77777777">
            <w:pPr>
              <w:rPr>
                <w:rFonts w:asciiTheme="minorHAnsi" w:hAnsiTheme="minorHAnsi"/>
              </w:rPr>
            </w:pPr>
          </w:p>
        </w:tc>
      </w:tr>
      <w:tr w:rsidRPr="00317EA9" w:rsidR="00BD4CF4" w:rsidTr="002C1B01" w14:paraId="1995DDB9" w14:textId="77777777">
        <w:tc>
          <w:tcPr>
            <w:tcW w:w="2247" w:type="dxa"/>
          </w:tcPr>
          <w:p w:rsidRPr="00317EA9" w:rsidR="00BD4CF4" w:rsidP="00317EA9" w:rsidRDefault="00BD4CF4" w14:paraId="79677DE8" w14:textId="77777777">
            <w:pPr>
              <w:rPr>
                <w:rFonts w:asciiTheme="minorHAnsi" w:hAnsiTheme="minorHAnsi"/>
                <w:lang w:eastAsia="en-AU"/>
              </w:rPr>
            </w:pPr>
            <w:r w:rsidRPr="00317EA9">
              <w:rPr>
                <w:rFonts w:asciiTheme="minorHAnsi" w:hAnsiTheme="minorHAnsi"/>
              </w:rPr>
              <w:t>Recommendation</w:t>
            </w:r>
          </w:p>
        </w:tc>
        <w:tc>
          <w:tcPr>
            <w:tcW w:w="7608" w:type="dxa"/>
            <w:gridSpan w:val="2"/>
          </w:tcPr>
          <w:p w:rsidRPr="00317EA9" w:rsidR="00BD4CF4" w:rsidP="00317EA9" w:rsidRDefault="00BD4CF4" w14:paraId="12561882" w14:textId="77777777">
            <w:pPr>
              <w:rPr>
                <w:rFonts w:asciiTheme="minorHAnsi" w:hAnsiTheme="minorHAnsi"/>
                <w:lang w:eastAsia="en-AU"/>
              </w:rPr>
            </w:pPr>
            <w:r w:rsidRPr="00317EA9">
              <w:rPr>
                <w:rFonts w:asciiTheme="minorHAnsi" w:hAnsiTheme="minorHAnsi"/>
                <w:lang w:eastAsia="en-AU"/>
              </w:rPr>
              <w:t>Ensure CTA buttons are labelled meaningfully in the context of the page information or question asked.</w:t>
            </w:r>
          </w:p>
          <w:p w:rsidRPr="00317EA9" w:rsidR="00BD4CF4" w:rsidP="00317EA9" w:rsidRDefault="00BD4CF4" w14:paraId="0BF6E402" w14:textId="77777777">
            <w:pPr>
              <w:rPr>
                <w:rFonts w:asciiTheme="minorHAnsi" w:hAnsiTheme="minorHAnsi"/>
                <w:lang w:eastAsia="en-AU"/>
              </w:rPr>
            </w:pPr>
          </w:p>
        </w:tc>
      </w:tr>
      <w:tr w:rsidRPr="00317EA9" w:rsidR="00BD4CF4" w:rsidTr="002C1B01" w14:paraId="5A7D6AE7" w14:textId="77777777">
        <w:tc>
          <w:tcPr>
            <w:tcW w:w="2247" w:type="dxa"/>
          </w:tcPr>
          <w:p w:rsidRPr="00317EA9" w:rsidR="00BD4CF4" w:rsidP="00317EA9" w:rsidRDefault="00BD4CF4" w14:paraId="2567B024" w14:textId="77777777">
            <w:pPr>
              <w:rPr>
                <w:rFonts w:asciiTheme="minorHAnsi" w:hAnsiTheme="minorHAnsi"/>
                <w:lang w:eastAsia="en-AU"/>
              </w:rPr>
            </w:pPr>
            <w:r w:rsidRPr="00317EA9">
              <w:rPr>
                <w:rFonts w:asciiTheme="minorHAnsi" w:hAnsiTheme="minorHAnsi"/>
              </w:rPr>
              <w:t xml:space="preserve">Evidence, </w:t>
            </w:r>
            <w:proofErr w:type="gramStart"/>
            <w:r w:rsidRPr="00317EA9">
              <w:rPr>
                <w:rFonts w:asciiTheme="minorHAnsi" w:hAnsiTheme="minorHAnsi"/>
              </w:rPr>
              <w:t>examples</w:t>
            </w:r>
            <w:proofErr w:type="gramEnd"/>
            <w:r w:rsidRPr="00317EA9">
              <w:rPr>
                <w:rFonts w:asciiTheme="minorHAnsi" w:hAnsiTheme="minorHAnsi"/>
              </w:rPr>
              <w:t xml:space="preserve"> and alternatives</w:t>
            </w:r>
          </w:p>
        </w:tc>
        <w:tc>
          <w:tcPr>
            <w:tcW w:w="7608" w:type="dxa"/>
            <w:gridSpan w:val="2"/>
          </w:tcPr>
          <w:p w:rsidRPr="00317EA9" w:rsidR="00BD4CF4" w:rsidP="00317EA9" w:rsidRDefault="00BD4CF4" w14:paraId="15DD15D2" w14:textId="77777777">
            <w:pPr>
              <w:rPr>
                <w:rFonts w:asciiTheme="minorHAnsi" w:hAnsiTheme="minorHAnsi"/>
                <w:lang w:eastAsia="en-AU"/>
              </w:rPr>
            </w:pPr>
            <w:r w:rsidRPr="00317EA9">
              <w:rPr>
                <w:rFonts w:asciiTheme="minorHAnsi" w:hAnsiTheme="minorHAnsi"/>
                <w:lang w:eastAsia="en-AU"/>
              </w:rPr>
              <w:t>[1CO Consent to collect] “Do you consent to us collecting and using your data? Consent / Deny”</w:t>
            </w:r>
          </w:p>
          <w:p w:rsidRPr="00317EA9" w:rsidR="00BD4CF4" w:rsidP="00317EA9" w:rsidRDefault="00BD4CF4" w14:paraId="5D9ACA5E" w14:textId="77777777">
            <w:pPr>
              <w:rPr>
                <w:rFonts w:asciiTheme="minorHAnsi" w:hAnsiTheme="minorHAnsi"/>
                <w:lang w:eastAsia="en-AU"/>
              </w:rPr>
            </w:pPr>
            <w:r w:rsidRPr="00317EA9">
              <w:rPr>
                <w:rFonts w:asciiTheme="minorHAnsi" w:hAnsiTheme="minorHAnsi"/>
                <w:lang w:eastAsia="en-AU"/>
              </w:rPr>
              <w:t>[4CMR2 DR Withdrawal 01] CTA button “Confirm stop access”</w:t>
            </w:r>
          </w:p>
          <w:p w:rsidRPr="00317EA9" w:rsidR="00BD4CF4" w:rsidP="00317EA9" w:rsidRDefault="00BD4CF4" w14:paraId="16525104" w14:textId="77777777">
            <w:pPr>
              <w:rPr>
                <w:rFonts w:asciiTheme="minorHAnsi" w:hAnsiTheme="minorHAnsi"/>
                <w:lang w:eastAsia="en-AU"/>
              </w:rPr>
            </w:pPr>
            <w:r w:rsidRPr="00317EA9">
              <w:rPr>
                <w:rFonts w:asciiTheme="minorHAnsi" w:hAnsiTheme="minorHAnsi"/>
                <w:lang w:eastAsia="en-AU"/>
              </w:rPr>
              <w:t>Suggested alternatives for the examples:</w:t>
            </w:r>
          </w:p>
          <w:p w:rsidRPr="00317EA9" w:rsidR="00BD4CF4" w:rsidP="00317EA9" w:rsidRDefault="00BD4CF4" w14:paraId="6EFACA43" w14:textId="77777777">
            <w:pPr>
              <w:rPr>
                <w:rFonts w:asciiTheme="minorHAnsi" w:hAnsiTheme="minorHAnsi"/>
                <w:lang w:eastAsia="en-AU"/>
              </w:rPr>
            </w:pPr>
            <w:r w:rsidRPr="00317EA9">
              <w:rPr>
                <w:rFonts w:asciiTheme="minorHAnsi" w:hAnsiTheme="minorHAnsi"/>
                <w:lang w:eastAsia="en-AU"/>
              </w:rPr>
              <w:t>[1CO Consent to collect] “Do you consent to us collecting and using your data?” CTA: Yes / No</w:t>
            </w:r>
          </w:p>
          <w:p w:rsidRPr="00317EA9" w:rsidR="00BD4CF4" w:rsidP="00317EA9" w:rsidRDefault="00BD4CF4" w14:paraId="262E54F1" w14:textId="77777777">
            <w:pPr>
              <w:rPr>
                <w:rFonts w:asciiTheme="minorHAnsi" w:hAnsiTheme="minorHAnsi"/>
                <w:lang w:eastAsia="en-AU"/>
              </w:rPr>
            </w:pPr>
            <w:r w:rsidRPr="00317EA9">
              <w:rPr>
                <w:rFonts w:asciiTheme="minorHAnsi" w:hAnsiTheme="minorHAnsi"/>
                <w:lang w:eastAsia="en-AU"/>
              </w:rPr>
              <w:t>[4CMR2 DR Withdrawal 01] CTA: Yes, stop access</w:t>
            </w:r>
          </w:p>
        </w:tc>
      </w:tr>
    </w:tbl>
    <w:p w:rsidRPr="00317EA9" w:rsidR="00BD4CF4" w:rsidP="00317EA9" w:rsidRDefault="00BD4CF4" w14:paraId="187B1974" w14:textId="77777777"/>
    <w:p w:rsidRPr="00317EA9" w:rsidR="00BD4CF4" w:rsidP="00317EA9" w:rsidRDefault="00BD4CF4" w14:paraId="458C4272" w14:textId="77777777">
      <w:r w:rsidRPr="00317EA9">
        <w:br w:type="page"/>
      </w:r>
    </w:p>
    <w:tbl>
      <w:tblPr>
        <w:tblStyle w:val="Tables-APBase"/>
        <w:tblW w:w="0" w:type="auto"/>
        <w:tblLook w:val="04A0" w:firstRow="1" w:lastRow="0" w:firstColumn="1" w:lastColumn="0" w:noHBand="0" w:noVBand="1"/>
      </w:tblPr>
      <w:tblGrid>
        <w:gridCol w:w="2799"/>
        <w:gridCol w:w="7056"/>
      </w:tblGrid>
      <w:tr w:rsidRPr="00317EA9" w:rsidR="00BD4CF4" w:rsidTr="002C1B01" w14:paraId="543B212A"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083" w:type="dxa"/>
            <w:gridSpan w:val="2"/>
            <w:shd w:val="clear" w:color="auto" w:fill="DC6900" w:themeFill="accent1"/>
          </w:tcPr>
          <w:p w:rsidRPr="006E33E6" w:rsidR="00BD4CF4" w:rsidP="00317EA9" w:rsidRDefault="00BD4CF4" w14:paraId="30DDD7F2" w14:textId="77777777">
            <w:pPr>
              <w:rPr>
                <w:rFonts w:asciiTheme="minorHAnsi" w:hAnsiTheme="minorHAnsi"/>
                <w:b/>
                <w:bCs/>
                <w:sz w:val="24"/>
                <w:szCs w:val="24"/>
              </w:rPr>
            </w:pPr>
            <w:r w:rsidRPr="006E33E6">
              <w:rPr>
                <w:rFonts w:asciiTheme="minorHAnsi" w:hAnsiTheme="minorHAnsi"/>
                <w:b/>
                <w:bCs/>
                <w:sz w:val="24"/>
                <w:szCs w:val="24"/>
              </w:rPr>
              <w:lastRenderedPageBreak/>
              <w:t>Issue theme 3: Accessibility</w:t>
            </w:r>
          </w:p>
          <w:p w:rsidRPr="006E33E6" w:rsidR="00BD4CF4" w:rsidP="00317EA9" w:rsidRDefault="00BD4CF4" w14:paraId="49B23229" w14:textId="77777777">
            <w:pPr>
              <w:rPr>
                <w:rFonts w:asciiTheme="minorHAnsi" w:hAnsiTheme="minorHAnsi"/>
                <w:bCs/>
              </w:rPr>
            </w:pPr>
            <w:r w:rsidRPr="006E33E6">
              <w:rPr>
                <w:rFonts w:asciiTheme="minorHAnsi" w:hAnsiTheme="minorHAnsi"/>
                <w:b/>
                <w:bCs/>
                <w:sz w:val="24"/>
                <w:szCs w:val="24"/>
              </w:rPr>
              <w:t>Issue 3.1 Colour contrast</w:t>
            </w:r>
          </w:p>
        </w:tc>
      </w:tr>
      <w:tr w:rsidRPr="00317EA9" w:rsidR="00BD4CF4" w:rsidTr="002C1B01" w14:paraId="33D68D87" w14:textId="77777777">
        <w:tc>
          <w:tcPr>
            <w:tcW w:w="10083" w:type="dxa"/>
            <w:gridSpan w:val="2"/>
          </w:tcPr>
          <w:p w:rsidRPr="006E33E6" w:rsidR="00BD4CF4" w:rsidP="00317EA9" w:rsidRDefault="00BD4CF4" w14:paraId="7B743307" w14:textId="77777777">
            <w:pPr>
              <w:rPr>
                <w:rFonts w:asciiTheme="minorHAnsi" w:hAnsiTheme="minorHAnsi"/>
                <w:lang w:val="en-US"/>
              </w:rPr>
            </w:pPr>
            <w:proofErr w:type="spellStart"/>
            <w:r w:rsidRPr="006E33E6">
              <w:rPr>
                <w:rFonts w:asciiTheme="minorHAnsi" w:hAnsiTheme="minorHAnsi"/>
                <w:lang w:val="en-US"/>
              </w:rPr>
              <w:t>Colour</w:t>
            </w:r>
            <w:proofErr w:type="spellEnd"/>
            <w:r w:rsidRPr="006E33E6">
              <w:rPr>
                <w:rFonts w:asciiTheme="minorHAnsi" w:hAnsiTheme="minorHAnsi"/>
                <w:lang w:val="en-US"/>
              </w:rPr>
              <w:t xml:space="preserve"> contrast of Dark theme palette fails AAA standards for regular text and graphics.</w:t>
            </w:r>
          </w:p>
        </w:tc>
      </w:tr>
      <w:tr w:rsidRPr="00317EA9" w:rsidR="00BD4CF4" w:rsidTr="002C1B01" w14:paraId="612EF301" w14:textId="77777777">
        <w:tc>
          <w:tcPr>
            <w:tcW w:w="2830" w:type="dxa"/>
          </w:tcPr>
          <w:p w:rsidRPr="006E33E6" w:rsidR="00BD4CF4" w:rsidP="00317EA9" w:rsidRDefault="00BD4CF4" w14:paraId="490042CB" w14:textId="77777777">
            <w:pPr>
              <w:rPr>
                <w:rFonts w:asciiTheme="minorHAnsi" w:hAnsiTheme="minorHAnsi"/>
                <w:lang w:val="en-US"/>
              </w:rPr>
            </w:pPr>
            <w:r w:rsidRPr="006E33E6">
              <w:rPr>
                <w:rFonts w:asciiTheme="minorHAnsi" w:hAnsiTheme="minorHAnsi"/>
                <w:b/>
                <w:bCs/>
              </w:rPr>
              <w:t>Recommendation</w:t>
            </w:r>
          </w:p>
          <w:p w:rsidRPr="006E33E6" w:rsidR="00BD4CF4" w:rsidP="00317EA9" w:rsidRDefault="00BD4CF4" w14:paraId="2A0F3BEA" w14:textId="77777777">
            <w:pPr>
              <w:rPr>
                <w:rFonts w:asciiTheme="minorHAnsi" w:hAnsiTheme="minorHAnsi"/>
                <w:lang w:val="en-US"/>
              </w:rPr>
            </w:pPr>
          </w:p>
        </w:tc>
        <w:tc>
          <w:tcPr>
            <w:tcW w:w="7253" w:type="dxa"/>
          </w:tcPr>
          <w:p w:rsidRPr="006E33E6" w:rsidR="00BD4CF4" w:rsidP="00317EA9" w:rsidRDefault="00BD4CF4" w14:paraId="257A5581" w14:textId="77777777">
            <w:pPr>
              <w:rPr>
                <w:rFonts w:asciiTheme="minorHAnsi" w:hAnsiTheme="minorHAnsi"/>
                <w:lang w:eastAsia="en-AU"/>
              </w:rPr>
            </w:pPr>
            <w:r w:rsidRPr="006E33E6">
              <w:rPr>
                <w:rFonts w:asciiTheme="minorHAnsi" w:hAnsiTheme="minorHAnsi"/>
                <w:lang w:eastAsia="en-AU"/>
              </w:rPr>
              <w:t>Ensure all foreground and background colour combinations pass AAA standards for regular text and graphics (in particular, Status colours: Dark theme).</w:t>
            </w:r>
            <w:r w:rsidRPr="006E33E6">
              <w:rPr>
                <w:rFonts w:asciiTheme="minorHAnsi" w:hAnsiTheme="minorHAnsi"/>
                <w:lang w:eastAsia="en-AU"/>
              </w:rPr>
              <w:br/>
            </w:r>
          </w:p>
        </w:tc>
      </w:tr>
      <w:tr w:rsidRPr="00317EA9" w:rsidR="00BD4CF4" w:rsidTr="002C1B01" w14:paraId="22535915" w14:textId="77777777">
        <w:tc>
          <w:tcPr>
            <w:tcW w:w="10083" w:type="dxa"/>
            <w:gridSpan w:val="2"/>
            <w:shd w:val="clear" w:color="auto" w:fill="DC6900" w:themeFill="text2"/>
          </w:tcPr>
          <w:p w:rsidRPr="006E33E6" w:rsidR="00BD4CF4" w:rsidP="00317EA9" w:rsidRDefault="00BD4CF4" w14:paraId="612D4F98" w14:textId="77777777">
            <w:pPr>
              <w:rPr>
                <w:rFonts w:asciiTheme="minorHAnsi" w:hAnsiTheme="minorHAnsi"/>
                <w:b/>
                <w:bCs/>
                <w:lang w:eastAsia="en-AU"/>
              </w:rPr>
            </w:pPr>
            <w:r w:rsidRPr="006E33E6">
              <w:rPr>
                <w:rFonts w:asciiTheme="minorHAnsi" w:hAnsiTheme="minorHAnsi"/>
                <w:b/>
                <w:bCs/>
                <w:sz w:val="24"/>
                <w:szCs w:val="24"/>
                <w:lang w:eastAsia="en-AU"/>
              </w:rPr>
              <w:t>Issue 3.2: Link labelling and locations</w:t>
            </w:r>
          </w:p>
        </w:tc>
      </w:tr>
      <w:tr w:rsidRPr="00317EA9" w:rsidR="00BD4CF4" w:rsidTr="002C1B01" w14:paraId="2CEF5654" w14:textId="77777777">
        <w:tc>
          <w:tcPr>
            <w:tcW w:w="10083" w:type="dxa"/>
            <w:gridSpan w:val="2"/>
          </w:tcPr>
          <w:p w:rsidRPr="00317EA9" w:rsidR="00BD4CF4" w:rsidP="00317EA9" w:rsidRDefault="00BD4CF4" w14:paraId="728D2C74" w14:textId="77777777">
            <w:pPr>
              <w:rPr>
                <w:rFonts w:asciiTheme="minorHAnsi" w:hAnsiTheme="minorHAnsi"/>
                <w:b/>
                <w:bCs/>
                <w:sz w:val="24"/>
                <w:szCs w:val="24"/>
                <w:lang w:eastAsia="en-AU"/>
              </w:rPr>
            </w:pPr>
            <w:r w:rsidRPr="00317EA9">
              <w:rPr>
                <w:rFonts w:asciiTheme="minorHAnsi" w:hAnsiTheme="minorHAnsi"/>
              </w:rPr>
              <w:t>Multiple ‘Learn more’ links on a page which are directed to different link locations about different topics won’t be distinguishable to screen reader users.</w:t>
            </w:r>
          </w:p>
        </w:tc>
      </w:tr>
      <w:tr w:rsidRPr="00317EA9" w:rsidR="00BD4CF4" w:rsidTr="002C1B01" w14:paraId="108177CE" w14:textId="77777777">
        <w:tc>
          <w:tcPr>
            <w:tcW w:w="2830" w:type="dxa"/>
          </w:tcPr>
          <w:p w:rsidRPr="00317EA9" w:rsidR="00BD4CF4" w:rsidP="00317EA9" w:rsidRDefault="00BD4CF4" w14:paraId="74CF957A" w14:textId="77777777">
            <w:pPr>
              <w:rPr>
                <w:rFonts w:asciiTheme="minorHAnsi" w:hAnsiTheme="minorHAnsi"/>
                <w:lang w:val="en-US"/>
              </w:rPr>
            </w:pPr>
            <w:r w:rsidRPr="00317EA9">
              <w:rPr>
                <w:rFonts w:asciiTheme="minorHAnsi" w:hAnsiTheme="minorHAnsi"/>
                <w:b/>
                <w:bCs/>
              </w:rPr>
              <w:t>Recommendation</w:t>
            </w:r>
          </w:p>
          <w:p w:rsidRPr="00317EA9" w:rsidR="00BD4CF4" w:rsidP="00317EA9" w:rsidRDefault="00BD4CF4" w14:paraId="5AA655AA" w14:textId="77777777">
            <w:pPr>
              <w:rPr>
                <w:rFonts w:asciiTheme="minorHAnsi" w:hAnsiTheme="minorHAnsi"/>
                <w:b/>
                <w:bCs/>
                <w:sz w:val="24"/>
                <w:szCs w:val="24"/>
                <w:lang w:eastAsia="en-AU"/>
              </w:rPr>
            </w:pPr>
          </w:p>
        </w:tc>
        <w:tc>
          <w:tcPr>
            <w:tcW w:w="7253" w:type="dxa"/>
          </w:tcPr>
          <w:p w:rsidRPr="00317EA9" w:rsidR="00BD4CF4" w:rsidP="00317EA9" w:rsidRDefault="00BD4CF4" w14:paraId="3A314DC6" w14:textId="77777777">
            <w:pPr>
              <w:rPr>
                <w:rFonts w:asciiTheme="minorHAnsi" w:hAnsiTheme="minorHAnsi"/>
                <w:b/>
                <w:bCs/>
                <w:sz w:val="24"/>
                <w:szCs w:val="24"/>
                <w:lang w:eastAsia="en-AU"/>
              </w:rPr>
            </w:pPr>
            <w:r w:rsidRPr="00317EA9">
              <w:rPr>
                <w:rFonts w:asciiTheme="minorHAnsi" w:hAnsiTheme="minorHAnsi"/>
              </w:rPr>
              <w:t>Ensure all links on the same page have unique link labels if they take users to different locations.</w:t>
            </w:r>
          </w:p>
        </w:tc>
      </w:tr>
    </w:tbl>
    <w:p w:rsidRPr="00317EA9" w:rsidR="00BD4CF4" w:rsidP="00317EA9" w:rsidRDefault="00BD4CF4" w14:paraId="51DDC944" w14:textId="77777777"/>
    <w:p w:rsidRPr="00317EA9" w:rsidR="00BD4CF4" w:rsidP="00317EA9" w:rsidRDefault="00BD4CF4" w14:paraId="447F0EB8" w14:textId="77777777"/>
    <w:p w:rsidR="00F74C6A" w:rsidRDefault="00F74C6A" w14:paraId="59647A97" w14:textId="09617D80">
      <w:pPr>
        <w:spacing w:after="160" w:line="259" w:lineRule="auto"/>
      </w:pPr>
      <w:r>
        <w:br w:type="page"/>
      </w:r>
    </w:p>
    <w:p w:rsidR="00F74C6A" w:rsidP="00F74C6A" w:rsidRDefault="00F74C6A" w14:paraId="6D22BBC2" w14:textId="51AD67D3">
      <w:pPr>
        <w:pStyle w:val="Heading1"/>
      </w:pPr>
      <w:bookmarkStart w:name="_Toc115693174" w:id="15"/>
      <w:r>
        <w:lastRenderedPageBreak/>
        <w:t>6</w:t>
      </w:r>
      <w:r>
        <w:tab/>
      </w:r>
      <w:r>
        <w:t>Consumer Testing</w:t>
      </w:r>
      <w:bookmarkEnd w:id="15"/>
    </w:p>
    <w:p w:rsidR="00F74C6A" w:rsidP="00F74C6A" w:rsidRDefault="00F74C6A" w14:paraId="6889F876" w14:textId="00FB5B19">
      <w:pPr>
        <w:pStyle w:val="Heading2"/>
      </w:pPr>
      <w:r>
        <w:t>6.1</w:t>
      </w:r>
      <w:r>
        <w:tab/>
      </w:r>
      <w:r>
        <w:t>Context</w:t>
      </w:r>
    </w:p>
    <w:p w:rsidR="00F74C6A" w:rsidP="00F74C6A" w:rsidRDefault="00F74C6A" w14:paraId="100DB1CB" w14:textId="77777777">
      <w:r>
        <w:t xml:space="preserve">The CDR is designed to support consumers to make informed decisions. To test how this was working on the artefacts covered in this review, </w:t>
      </w:r>
      <w:r w:rsidRPr="00F74C6A">
        <w:t>consumer testing was undertaken.</w:t>
      </w:r>
    </w:p>
    <w:p w:rsidR="00F74C6A" w:rsidP="00F74C6A" w:rsidRDefault="00F74C6A" w14:paraId="786A73F0" w14:textId="20F31DBC">
      <w:pPr>
        <w:pStyle w:val="Heading2"/>
      </w:pPr>
      <w:r>
        <w:t>6.2</w:t>
      </w:r>
      <w:r>
        <w:tab/>
      </w:r>
      <w:r>
        <w:t>Methodology</w:t>
      </w:r>
    </w:p>
    <w:p w:rsidRPr="00F74C6A" w:rsidR="00F74C6A" w:rsidP="00F74C6A" w:rsidRDefault="00F74C6A" w14:paraId="26EEAB0F" w14:textId="77777777">
      <w:pPr>
        <w:pStyle w:val="PwCNormal"/>
        <w:numPr>
          <w:ilvl w:val="0"/>
          <w:numId w:val="0"/>
        </w:numPr>
        <w:rPr>
          <w:rFonts w:asciiTheme="minorHAnsi" w:hAnsiTheme="minorHAnsi" w:cstheme="minorHAnsi"/>
        </w:rPr>
      </w:pPr>
      <w:r w:rsidRPr="00F74C6A">
        <w:rPr>
          <w:rFonts w:asciiTheme="minorHAnsi" w:hAnsiTheme="minorHAnsi" w:cstheme="minorHAnsi"/>
        </w:rPr>
        <w:t>Usability testing was conducted on the overall experience of users engaging with a new Consumer Data Right (</w:t>
      </w:r>
      <w:r w:rsidRPr="00F74C6A">
        <w:rPr>
          <w:rFonts w:asciiTheme="minorHAnsi" w:hAnsiTheme="minorHAnsi" w:cstheme="minorHAnsi"/>
          <w:b/>
          <w:bCs/>
        </w:rPr>
        <w:t>CDR</w:t>
      </w:r>
      <w:r w:rsidRPr="00F74C6A">
        <w:rPr>
          <w:rFonts w:asciiTheme="minorHAnsi" w:hAnsiTheme="minorHAnsi" w:cstheme="minorHAnsi"/>
        </w:rPr>
        <w:t xml:space="preserve">) flow prototype. Users were asked to interact and provide feedback on the consent, </w:t>
      </w:r>
      <w:proofErr w:type="gramStart"/>
      <w:r w:rsidRPr="00F74C6A">
        <w:rPr>
          <w:rFonts w:asciiTheme="minorHAnsi" w:hAnsiTheme="minorHAnsi" w:cstheme="minorHAnsi"/>
        </w:rPr>
        <w:t>authentication</w:t>
      </w:r>
      <w:proofErr w:type="gramEnd"/>
      <w:r w:rsidRPr="00F74C6A">
        <w:rPr>
          <w:rFonts w:asciiTheme="minorHAnsi" w:hAnsiTheme="minorHAnsi" w:cstheme="minorHAnsi"/>
        </w:rPr>
        <w:t xml:space="preserve"> and authorisation processes. This test focused on assessing the prototype’s accessibility, </w:t>
      </w:r>
      <w:proofErr w:type="gramStart"/>
      <w:r w:rsidRPr="00F74C6A">
        <w:rPr>
          <w:rFonts w:asciiTheme="minorHAnsi" w:hAnsiTheme="minorHAnsi" w:cstheme="minorHAnsi"/>
        </w:rPr>
        <w:t>usability</w:t>
      </w:r>
      <w:proofErr w:type="gramEnd"/>
      <w:r w:rsidRPr="00F74C6A">
        <w:rPr>
          <w:rFonts w:asciiTheme="minorHAnsi" w:hAnsiTheme="minorHAnsi" w:cstheme="minorHAnsi"/>
        </w:rPr>
        <w:t xml:space="preserve"> and clarity. </w:t>
      </w:r>
    </w:p>
    <w:p w:rsidRPr="00F74C6A" w:rsidR="00F74C6A" w:rsidP="00F74C6A" w:rsidRDefault="00F74C6A" w14:paraId="2D253571" w14:textId="77777777">
      <w:pPr>
        <w:pStyle w:val="PwCNormal"/>
        <w:numPr>
          <w:ilvl w:val="0"/>
          <w:numId w:val="0"/>
        </w:numPr>
        <w:rPr>
          <w:rFonts w:asciiTheme="minorHAnsi" w:hAnsiTheme="minorHAnsi" w:cstheme="minorHAnsi"/>
        </w:rPr>
      </w:pPr>
      <w:r w:rsidRPr="00F74C6A">
        <w:rPr>
          <w:rFonts w:asciiTheme="minorHAnsi" w:hAnsiTheme="minorHAnsi" w:cstheme="minorHAnsi"/>
        </w:rPr>
        <w:t xml:space="preserve">Ten individual users were recruited for the usability test, including: four Aboriginal and Torres Strait Islander consumers as well as six other edge users. Edge users are defined as people who are usually left out of the design process and/or experience barriers when accessing digital products. Testing was conducted in-person as well as remotely and asked participants to interact with the prototype. In-depth questions were also asked to generate discussion about their experience and to collect as much feedback as possible. </w:t>
      </w:r>
    </w:p>
    <w:p w:rsidRPr="00F74C6A" w:rsidR="00F74C6A" w:rsidP="00F74C6A" w:rsidRDefault="00F74C6A" w14:paraId="07800579" w14:textId="77777777">
      <w:pPr>
        <w:pStyle w:val="PwCNormal"/>
        <w:numPr>
          <w:ilvl w:val="0"/>
          <w:numId w:val="0"/>
        </w:numPr>
        <w:rPr>
          <w:rFonts w:asciiTheme="minorHAnsi" w:hAnsiTheme="minorHAnsi" w:cstheme="minorHAnsi"/>
        </w:rPr>
      </w:pPr>
      <w:r w:rsidRPr="00F74C6A">
        <w:rPr>
          <w:rFonts w:asciiTheme="minorHAnsi" w:hAnsiTheme="minorHAnsi" w:cstheme="minorHAnsi"/>
        </w:rPr>
        <w:t>Participants were given fictional scenarios to test, related to:</w:t>
      </w:r>
    </w:p>
    <w:p w:rsidRPr="00F74C6A" w:rsidR="00F74C6A" w:rsidP="00F74C6A" w:rsidRDefault="00F74C6A" w14:paraId="555EA921" w14:textId="77777777">
      <w:pPr>
        <w:pStyle w:val="Indent1"/>
        <w:numPr>
          <w:ilvl w:val="0"/>
          <w:numId w:val="13"/>
        </w:numPr>
        <w:rPr>
          <w:rFonts w:asciiTheme="minorHAnsi" w:hAnsiTheme="minorHAnsi" w:cstheme="minorHAnsi"/>
        </w:rPr>
      </w:pPr>
      <w:proofErr w:type="spellStart"/>
      <w:r w:rsidRPr="00F74C6A">
        <w:rPr>
          <w:rFonts w:asciiTheme="minorHAnsi" w:hAnsiTheme="minorHAnsi" w:cstheme="minorHAnsi"/>
          <w:i/>
          <w:iCs/>
        </w:rPr>
        <w:t>CompareBanks</w:t>
      </w:r>
      <w:proofErr w:type="spellEnd"/>
      <w:r w:rsidRPr="00F74C6A">
        <w:rPr>
          <w:rFonts w:asciiTheme="minorHAnsi" w:hAnsiTheme="minorHAnsi" w:cstheme="minorHAnsi"/>
        </w:rPr>
        <w:t xml:space="preserve"> – a fictional Accredited Data Recipient (</w:t>
      </w:r>
      <w:r w:rsidRPr="00F74C6A">
        <w:rPr>
          <w:rFonts w:asciiTheme="minorHAnsi" w:hAnsiTheme="minorHAnsi" w:cstheme="minorHAnsi"/>
          <w:b/>
          <w:bCs/>
        </w:rPr>
        <w:t>ADR</w:t>
      </w:r>
      <w:r w:rsidRPr="00F74C6A">
        <w:rPr>
          <w:rFonts w:asciiTheme="minorHAnsi" w:hAnsiTheme="minorHAnsi" w:cstheme="minorHAnsi"/>
        </w:rPr>
        <w:t>) with a banking product comparison application (</w:t>
      </w:r>
      <w:r w:rsidRPr="00F74C6A">
        <w:rPr>
          <w:rFonts w:asciiTheme="minorHAnsi" w:hAnsiTheme="minorHAnsi" w:cstheme="minorHAnsi"/>
          <w:b/>
          <w:bCs/>
        </w:rPr>
        <w:t>app</w:t>
      </w:r>
      <w:r w:rsidRPr="00F74C6A">
        <w:rPr>
          <w:rFonts w:asciiTheme="minorHAnsi" w:hAnsiTheme="minorHAnsi" w:cstheme="minorHAnsi"/>
        </w:rPr>
        <w:t xml:space="preserve">), where consumers provide consent for their data to be shared </w:t>
      </w:r>
      <w:proofErr w:type="gramStart"/>
      <w:r w:rsidRPr="00F74C6A">
        <w:rPr>
          <w:rFonts w:asciiTheme="minorHAnsi" w:hAnsiTheme="minorHAnsi" w:cstheme="minorHAnsi"/>
        </w:rPr>
        <w:t>in order to</w:t>
      </w:r>
      <w:proofErr w:type="gramEnd"/>
      <w:r w:rsidRPr="00F74C6A">
        <w:rPr>
          <w:rFonts w:asciiTheme="minorHAnsi" w:hAnsiTheme="minorHAnsi" w:cstheme="minorHAnsi"/>
        </w:rPr>
        <w:t xml:space="preserve"> receive tailored banking products based on their banking information.  </w:t>
      </w:r>
    </w:p>
    <w:p w:rsidRPr="00F74C6A" w:rsidR="00F74C6A" w:rsidP="00F74C6A" w:rsidRDefault="00F74C6A" w14:paraId="2B8B3D58" w14:textId="77777777">
      <w:pPr>
        <w:pStyle w:val="Indent1"/>
        <w:numPr>
          <w:ilvl w:val="0"/>
          <w:numId w:val="13"/>
        </w:numPr>
        <w:rPr>
          <w:rFonts w:asciiTheme="minorHAnsi" w:hAnsiTheme="minorHAnsi" w:cstheme="minorHAnsi"/>
        </w:rPr>
      </w:pPr>
      <w:r w:rsidRPr="00F74C6A">
        <w:rPr>
          <w:rFonts w:asciiTheme="minorHAnsi" w:hAnsiTheme="minorHAnsi" w:cstheme="minorHAnsi"/>
          <w:i/>
          <w:iCs/>
        </w:rPr>
        <w:t>Bank 1</w:t>
      </w:r>
      <w:r w:rsidRPr="00F74C6A">
        <w:rPr>
          <w:rFonts w:asciiTheme="minorHAnsi" w:hAnsiTheme="minorHAnsi" w:cstheme="minorHAnsi"/>
        </w:rPr>
        <w:t xml:space="preserve"> – a fictional Data Holder (</w:t>
      </w:r>
      <w:r w:rsidRPr="00F74C6A">
        <w:rPr>
          <w:rFonts w:asciiTheme="minorHAnsi" w:hAnsiTheme="minorHAnsi" w:cstheme="minorHAnsi"/>
          <w:b/>
          <w:bCs/>
        </w:rPr>
        <w:t>DH</w:t>
      </w:r>
      <w:r w:rsidRPr="00F74C6A">
        <w:rPr>
          <w:rFonts w:asciiTheme="minorHAnsi" w:hAnsiTheme="minorHAnsi" w:cstheme="minorHAnsi"/>
        </w:rPr>
        <w:t xml:space="preserve">) used for the purpose of the scenario, where the consumer is requested to authorise disclosure of their banking data with </w:t>
      </w:r>
      <w:proofErr w:type="spellStart"/>
      <w:r w:rsidRPr="00F74C6A">
        <w:rPr>
          <w:rFonts w:asciiTheme="minorHAnsi" w:hAnsiTheme="minorHAnsi" w:cstheme="minorHAnsi"/>
          <w:i/>
          <w:iCs/>
        </w:rPr>
        <w:t>CompareBanks</w:t>
      </w:r>
      <w:proofErr w:type="spellEnd"/>
      <w:r w:rsidRPr="00F74C6A">
        <w:rPr>
          <w:rFonts w:asciiTheme="minorHAnsi" w:hAnsiTheme="minorHAnsi" w:cstheme="minorHAnsi"/>
        </w:rPr>
        <w:t>.</w:t>
      </w:r>
    </w:p>
    <w:p w:rsidRPr="00F74C6A" w:rsidR="00F74C6A" w:rsidP="00383A0B" w:rsidRDefault="00383A0B" w14:paraId="17BD1118" w14:textId="4EEF48B1">
      <w:pPr>
        <w:pStyle w:val="Heading2"/>
      </w:pPr>
      <w:r>
        <w:t>6.3</w:t>
      </w:r>
      <w:r>
        <w:tab/>
      </w:r>
      <w:r w:rsidRPr="00F74C6A" w:rsidR="00F74C6A">
        <w:t>Limitations</w:t>
      </w:r>
    </w:p>
    <w:p w:rsidR="00F74C6A" w:rsidP="00383A0B" w:rsidRDefault="00F74C6A" w14:paraId="4B457B11" w14:textId="77777777">
      <w:r>
        <w:t>Due to timing and public health considerations, all testing was held online rather than face to face.</w:t>
      </w:r>
    </w:p>
    <w:p w:rsidR="00F74C6A" w:rsidP="00383A0B" w:rsidRDefault="00383A0B" w14:paraId="438F219A" w14:textId="28D231BA">
      <w:pPr>
        <w:pStyle w:val="Heading2"/>
      </w:pPr>
      <w:r>
        <w:t>6.4</w:t>
      </w:r>
      <w:r>
        <w:tab/>
      </w:r>
      <w:r w:rsidR="00F74C6A">
        <w:t>Findings</w:t>
      </w:r>
    </w:p>
    <w:p w:rsidRPr="009113E5" w:rsidR="00F74C6A" w:rsidP="00383A0B" w:rsidRDefault="00F74C6A" w14:paraId="6508F665" w14:textId="77777777">
      <w:r>
        <w:t>Five key themes around success, and four key themes relating to issues were identified, and described below.</w:t>
      </w:r>
    </w:p>
    <w:p w:rsidR="00383A0B" w:rsidP="00383A0B" w:rsidRDefault="00383A0B" w14:paraId="21B48C2E" w14:textId="77777777">
      <w:pPr>
        <w:pStyle w:val="Heading3"/>
      </w:pPr>
    </w:p>
    <w:p w:rsidRPr="006E33E6" w:rsidR="00F74C6A" w:rsidP="00383A0B" w:rsidRDefault="00F74C6A" w14:paraId="23E17EA6" w14:textId="256152DC">
      <w:pPr>
        <w:pStyle w:val="Heading3"/>
      </w:pPr>
      <w:r>
        <w:t>Success themes</w:t>
      </w:r>
    </w:p>
    <w:p w:rsidRPr="006E33E6" w:rsidR="00F74C6A" w:rsidP="00F74C6A" w:rsidRDefault="00F74C6A" w14:paraId="1CC466BF" w14:textId="77777777">
      <w:pPr>
        <w:pStyle w:val="themeheadings"/>
        <w:rPr>
          <w:rFonts w:asciiTheme="minorHAnsi" w:hAnsiTheme="minorHAnsi" w:cstheme="minorHAnsi"/>
          <w:color w:val="auto"/>
        </w:rPr>
      </w:pPr>
      <w:r w:rsidRPr="006E33E6">
        <w:rPr>
          <w:rFonts w:asciiTheme="minorHAnsi" w:hAnsiTheme="minorHAnsi" w:cstheme="minorHAnsi"/>
          <w:color w:val="auto"/>
        </w:rPr>
        <w:t>Success theme 1: Consistent visual language</w:t>
      </w:r>
    </w:p>
    <w:p w:rsidRPr="006E33E6" w:rsidR="00F74C6A" w:rsidP="00F74C6A" w:rsidRDefault="00F74C6A" w14:paraId="35A668F5" w14:textId="77777777">
      <w:pPr>
        <w:pStyle w:val="PwCNormal"/>
        <w:numPr>
          <w:ilvl w:val="0"/>
          <w:numId w:val="0"/>
        </w:numPr>
        <w:ind w:firstLine="360"/>
        <w:rPr>
          <w:rFonts w:asciiTheme="minorHAnsi" w:hAnsiTheme="minorHAnsi" w:cstheme="minorHAnsi"/>
        </w:rPr>
      </w:pPr>
      <w:r w:rsidRPr="006E33E6">
        <w:rPr>
          <w:rFonts w:asciiTheme="minorHAnsi" w:hAnsiTheme="minorHAnsi" w:cstheme="minorHAnsi"/>
        </w:rPr>
        <w:t xml:space="preserve">The Design Library has been designed rigorously with consistent style guide and components. </w:t>
      </w:r>
    </w:p>
    <w:p w:rsidRPr="006E33E6" w:rsidR="00F74C6A" w:rsidP="00F74C6A" w:rsidRDefault="00F74C6A" w14:paraId="4C1541FD" w14:textId="77777777">
      <w:pPr>
        <w:pStyle w:val="PwCNormal"/>
        <w:numPr>
          <w:ilvl w:val="0"/>
          <w:numId w:val="0"/>
        </w:numPr>
        <w:ind w:left="360"/>
        <w:rPr>
          <w:rFonts w:asciiTheme="minorHAnsi" w:hAnsiTheme="minorHAnsi" w:cstheme="minorHAnsi"/>
          <w:highlight w:val="yellow"/>
        </w:rPr>
      </w:pPr>
      <w:r w:rsidRPr="006E33E6">
        <w:rPr>
          <w:rFonts w:asciiTheme="minorHAnsi" w:hAnsiTheme="minorHAnsi" w:cstheme="minorHAnsi"/>
        </w:rPr>
        <w:t>There was good visual hierarchy in the prototype for different levels of information and visual indicators for buttons, input fields and alerts.</w:t>
      </w:r>
    </w:p>
    <w:p w:rsidRPr="006E33E6" w:rsidR="00F74C6A" w:rsidP="00F74C6A" w:rsidRDefault="00F74C6A" w14:paraId="66916F95" w14:textId="77777777">
      <w:pPr>
        <w:pStyle w:val="themeheadings"/>
        <w:rPr>
          <w:rFonts w:asciiTheme="minorHAnsi" w:hAnsiTheme="minorHAnsi" w:cstheme="minorHAnsi"/>
          <w:color w:val="auto"/>
        </w:rPr>
      </w:pPr>
      <w:r w:rsidRPr="006E33E6">
        <w:rPr>
          <w:rFonts w:asciiTheme="minorHAnsi" w:hAnsiTheme="minorHAnsi" w:cstheme="minorHAnsi"/>
          <w:color w:val="auto"/>
        </w:rPr>
        <w:t>Success theme 2: Screen reader accessible</w:t>
      </w:r>
    </w:p>
    <w:p w:rsidRPr="006E33E6" w:rsidR="00F74C6A" w:rsidP="00F74C6A" w:rsidRDefault="00F74C6A" w14:paraId="74729DD0" w14:textId="77777777">
      <w:pPr>
        <w:pStyle w:val="PwCNormal"/>
        <w:numPr>
          <w:ilvl w:val="0"/>
          <w:numId w:val="0"/>
        </w:numPr>
        <w:ind w:left="360"/>
        <w:rPr>
          <w:rFonts w:asciiTheme="minorHAnsi" w:hAnsiTheme="minorHAnsi" w:cstheme="minorHAnsi"/>
        </w:rPr>
      </w:pPr>
      <w:r w:rsidRPr="006E33E6">
        <w:rPr>
          <w:rFonts w:asciiTheme="minorHAnsi" w:hAnsiTheme="minorHAnsi" w:cstheme="minorHAnsi"/>
        </w:rPr>
        <w:t xml:space="preserve">The consumers who relied on a screen reader commented on the apps’ ease of use. </w:t>
      </w:r>
    </w:p>
    <w:p w:rsidRPr="006E33E6" w:rsidR="00F74C6A" w:rsidP="00F74C6A" w:rsidRDefault="00F74C6A" w14:paraId="6C1D29F9" w14:textId="77777777">
      <w:pPr>
        <w:pStyle w:val="PwCNormal"/>
        <w:numPr>
          <w:ilvl w:val="0"/>
          <w:numId w:val="0"/>
        </w:numPr>
        <w:ind w:left="360"/>
        <w:rPr>
          <w:rFonts w:asciiTheme="minorHAnsi" w:hAnsiTheme="minorHAnsi" w:cstheme="minorHAnsi"/>
        </w:rPr>
      </w:pPr>
      <w:r w:rsidRPr="006E33E6">
        <w:rPr>
          <w:rFonts w:asciiTheme="minorHAnsi" w:hAnsiTheme="minorHAnsi" w:cstheme="minorHAnsi"/>
        </w:rPr>
        <w:t xml:space="preserve">For future implementation, we strongly advise working with accessibility professionals to provide the same level of WCAG compliance or investing in additional accessibility expertise within the DSB. This is in line with recommendation 1 of this report, adoption of WCAG standards. </w:t>
      </w:r>
    </w:p>
    <w:p w:rsidRPr="006E33E6" w:rsidR="00F74C6A" w:rsidP="00F74C6A" w:rsidRDefault="00F74C6A" w14:paraId="35E02793" w14:textId="77777777">
      <w:pPr>
        <w:pStyle w:val="themeheadings"/>
        <w:rPr>
          <w:rFonts w:asciiTheme="minorHAnsi" w:hAnsiTheme="minorHAnsi" w:cstheme="minorHAnsi"/>
          <w:color w:val="auto"/>
        </w:rPr>
      </w:pPr>
      <w:r w:rsidRPr="006E33E6">
        <w:rPr>
          <w:rFonts w:asciiTheme="minorHAnsi" w:hAnsiTheme="minorHAnsi" w:cstheme="minorHAnsi"/>
          <w:color w:val="auto"/>
        </w:rPr>
        <w:t>Success theme 3: Simple design</w:t>
      </w:r>
    </w:p>
    <w:p w:rsidRPr="006E33E6" w:rsidR="00F74C6A" w:rsidP="00F74C6A" w:rsidRDefault="00F74C6A" w14:paraId="735AFE74" w14:textId="77777777">
      <w:pPr>
        <w:pStyle w:val="PwCNormal"/>
        <w:numPr>
          <w:ilvl w:val="0"/>
          <w:numId w:val="0"/>
        </w:numPr>
        <w:ind w:left="360"/>
        <w:rPr>
          <w:rFonts w:asciiTheme="minorHAnsi" w:hAnsiTheme="minorHAnsi" w:cstheme="minorHAnsi"/>
        </w:rPr>
      </w:pPr>
      <w:r w:rsidRPr="006E33E6">
        <w:rPr>
          <w:rFonts w:asciiTheme="minorHAnsi" w:hAnsiTheme="minorHAnsi" w:cstheme="minorHAnsi"/>
        </w:rPr>
        <w:t xml:space="preserve">The design of the prototype was modern, simple and did not overwhelm consumers. </w:t>
      </w:r>
    </w:p>
    <w:p w:rsidRPr="006E33E6" w:rsidR="00F74C6A" w:rsidP="00F74C6A" w:rsidRDefault="00F74C6A" w14:paraId="04E08FFF" w14:textId="77777777">
      <w:pPr>
        <w:pStyle w:val="PwCNormal"/>
        <w:numPr>
          <w:ilvl w:val="0"/>
          <w:numId w:val="0"/>
        </w:numPr>
        <w:ind w:left="360"/>
        <w:rPr>
          <w:rFonts w:asciiTheme="minorHAnsi" w:hAnsiTheme="minorHAnsi" w:cstheme="minorHAnsi"/>
          <w:highlight w:val="yellow"/>
        </w:rPr>
      </w:pPr>
      <w:r w:rsidRPr="006E33E6">
        <w:rPr>
          <w:rFonts w:asciiTheme="minorHAnsi" w:hAnsiTheme="minorHAnsi" w:cstheme="minorHAnsi"/>
        </w:rPr>
        <w:t>This supported task orientation and overall usability.</w:t>
      </w:r>
    </w:p>
    <w:p w:rsidRPr="006E33E6" w:rsidR="00F74C6A" w:rsidP="00F74C6A" w:rsidRDefault="00F74C6A" w14:paraId="3600D3D3" w14:textId="77777777">
      <w:pPr>
        <w:pStyle w:val="themeheadings"/>
        <w:rPr>
          <w:rFonts w:asciiTheme="minorHAnsi" w:hAnsiTheme="minorHAnsi" w:cstheme="minorHAnsi"/>
          <w:color w:val="auto"/>
        </w:rPr>
      </w:pPr>
      <w:r w:rsidRPr="006E33E6">
        <w:rPr>
          <w:rFonts w:asciiTheme="minorHAnsi" w:hAnsiTheme="minorHAnsi" w:cstheme="minorHAnsi"/>
          <w:color w:val="auto"/>
        </w:rPr>
        <w:lastRenderedPageBreak/>
        <w:t>Success theme 4: Overall simple use of language</w:t>
      </w:r>
    </w:p>
    <w:p w:rsidRPr="006E33E6" w:rsidR="00F74C6A" w:rsidP="00F74C6A" w:rsidRDefault="00F74C6A" w14:paraId="58CB033E" w14:textId="77777777">
      <w:pPr>
        <w:pStyle w:val="PwCNormal"/>
        <w:numPr>
          <w:ilvl w:val="0"/>
          <w:numId w:val="0"/>
        </w:numPr>
        <w:ind w:left="360"/>
        <w:rPr>
          <w:rFonts w:asciiTheme="minorHAnsi" w:hAnsiTheme="minorHAnsi" w:cstheme="minorHAnsi"/>
          <w:highlight w:val="yellow"/>
        </w:rPr>
      </w:pPr>
      <w:r w:rsidRPr="006E33E6">
        <w:rPr>
          <w:rFonts w:asciiTheme="minorHAnsi" w:hAnsiTheme="minorHAnsi" w:cstheme="minorHAnsi"/>
        </w:rPr>
        <w:t>For the most part, the language of the prototype was clear and direct. Although the concepts may be unfamiliar to consumers, there was not an overwhelming amount of jargon, or complex terminology.</w:t>
      </w:r>
    </w:p>
    <w:p w:rsidRPr="006E33E6" w:rsidR="00F74C6A" w:rsidP="00F74C6A" w:rsidRDefault="00F74C6A" w14:paraId="7F484733" w14:textId="77777777">
      <w:pPr>
        <w:pStyle w:val="themeheadings"/>
        <w:rPr>
          <w:rFonts w:asciiTheme="minorHAnsi" w:hAnsiTheme="minorHAnsi" w:cstheme="minorHAnsi"/>
          <w:color w:val="auto"/>
        </w:rPr>
      </w:pPr>
      <w:r w:rsidRPr="006E33E6">
        <w:rPr>
          <w:rFonts w:asciiTheme="minorHAnsi" w:hAnsiTheme="minorHAnsi" w:cstheme="minorHAnsi"/>
          <w:color w:val="auto"/>
        </w:rPr>
        <w:t>Success theme 4: Clear way out</w:t>
      </w:r>
    </w:p>
    <w:p w:rsidRPr="006E33E6" w:rsidR="00F74C6A" w:rsidP="00F74C6A" w:rsidRDefault="00F74C6A" w14:paraId="12E05C07" w14:textId="77777777">
      <w:pPr>
        <w:pStyle w:val="PwCNormal"/>
        <w:numPr>
          <w:ilvl w:val="0"/>
          <w:numId w:val="0"/>
        </w:numPr>
        <w:ind w:left="360"/>
        <w:rPr>
          <w:rFonts w:asciiTheme="minorHAnsi" w:hAnsiTheme="minorHAnsi" w:cstheme="minorHAnsi"/>
        </w:rPr>
      </w:pPr>
      <w:r w:rsidRPr="006E33E6">
        <w:rPr>
          <w:rFonts w:asciiTheme="minorHAnsi" w:hAnsiTheme="minorHAnsi" w:cstheme="minorHAnsi"/>
        </w:rPr>
        <w:t xml:space="preserve">Consumers noted there was always a clear way in the prototype to exit the process or go back to make changes if needed. </w:t>
      </w:r>
    </w:p>
    <w:p w:rsidRPr="006E33E6" w:rsidR="00F74C6A" w:rsidP="00F74C6A" w:rsidRDefault="00F74C6A" w14:paraId="44372C9E" w14:textId="0F31A067">
      <w:pPr>
        <w:pStyle w:val="PwCNormal"/>
        <w:numPr>
          <w:ilvl w:val="0"/>
          <w:numId w:val="0"/>
        </w:numPr>
        <w:ind w:left="360"/>
        <w:rPr>
          <w:rFonts w:asciiTheme="minorHAnsi" w:hAnsiTheme="minorHAnsi" w:cstheme="minorHAnsi"/>
        </w:rPr>
      </w:pPr>
      <w:r w:rsidRPr="006E33E6">
        <w:rPr>
          <w:rFonts w:asciiTheme="minorHAnsi" w:hAnsiTheme="minorHAnsi" w:cstheme="minorHAnsi"/>
        </w:rPr>
        <w:t>This provides a level of control and ensures the user won’t get stuck.</w:t>
      </w:r>
    </w:p>
    <w:p w:rsidRPr="006E33E6" w:rsidR="00F07949" w:rsidP="00F74C6A" w:rsidRDefault="00F07949" w14:paraId="7DE3431D" w14:textId="77777777">
      <w:pPr>
        <w:pStyle w:val="PwCNormal"/>
        <w:numPr>
          <w:ilvl w:val="0"/>
          <w:numId w:val="0"/>
        </w:numPr>
        <w:ind w:left="360"/>
        <w:rPr>
          <w:rFonts w:asciiTheme="minorHAnsi" w:hAnsiTheme="minorHAnsi" w:cstheme="minorHAnsi"/>
        </w:rPr>
      </w:pPr>
    </w:p>
    <w:p w:rsidRPr="006E33E6" w:rsidR="00F74C6A" w:rsidP="00F07949" w:rsidRDefault="00F74C6A" w14:paraId="13B78C75" w14:textId="77777777">
      <w:pPr>
        <w:pStyle w:val="Heading3"/>
      </w:pPr>
      <w:r w:rsidRPr="006E33E6">
        <w:t>Issues and opportunities for improvement</w:t>
      </w:r>
    </w:p>
    <w:p w:rsidRPr="006E33E6" w:rsidR="00F74C6A" w:rsidP="00F74C6A" w:rsidRDefault="00F74C6A" w14:paraId="03941CEE" w14:textId="77777777">
      <w:pPr>
        <w:pStyle w:val="PwCNormal"/>
        <w:numPr>
          <w:ilvl w:val="0"/>
          <w:numId w:val="0"/>
        </w:numPr>
        <w:rPr>
          <w:rFonts w:asciiTheme="minorHAnsi" w:hAnsiTheme="minorHAnsi" w:cstheme="minorHAnsi"/>
        </w:rPr>
      </w:pPr>
      <w:r w:rsidRPr="006E33E6">
        <w:rPr>
          <w:rFonts w:asciiTheme="minorHAnsi" w:hAnsiTheme="minorHAnsi" w:cstheme="minorHAnsi"/>
        </w:rPr>
        <w:t>Issues and opportunities for improvement were identified and categorised by theme. They are described below, with recommendations for improvement. All evidence (such as screenshots) is from the coded prototype. Where findings might differ for wireframes or other artefacts, this is noted in text.</w:t>
      </w:r>
    </w:p>
    <w:tbl>
      <w:tblPr>
        <w:tblStyle w:val="Tables-APBase"/>
        <w:tblW w:w="0" w:type="auto"/>
        <w:tblLook w:val="04A0" w:firstRow="1" w:lastRow="0" w:firstColumn="1" w:lastColumn="0" w:noHBand="0" w:noVBand="1"/>
      </w:tblPr>
      <w:tblGrid>
        <w:gridCol w:w="2799"/>
        <w:gridCol w:w="7056"/>
      </w:tblGrid>
      <w:tr w:rsidRPr="006E33E6" w:rsidR="006E33E6" w:rsidTr="00483F75" w14:paraId="343BFCBC"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083" w:type="dxa"/>
            <w:gridSpan w:val="2"/>
            <w:shd w:val="clear" w:color="auto" w:fill="DC6900" w:themeFill="accent1"/>
          </w:tcPr>
          <w:p w:rsidRPr="006E33E6" w:rsidR="00F74C6A" w:rsidP="00483F75" w:rsidRDefault="00F74C6A" w14:paraId="64268151" w14:textId="77777777">
            <w:pPr>
              <w:pStyle w:val="Tableheadings"/>
              <w:rPr>
                <w:rFonts w:asciiTheme="minorHAnsi" w:hAnsiTheme="minorHAnsi" w:cstheme="minorHAnsi"/>
                <w:bCs/>
              </w:rPr>
            </w:pPr>
            <w:r w:rsidRPr="006E33E6">
              <w:rPr>
                <w:rFonts w:asciiTheme="minorHAnsi" w:hAnsiTheme="minorHAnsi" w:cstheme="minorHAnsi"/>
              </w:rPr>
              <w:t>Issue theme 1: Transparency</w:t>
            </w:r>
            <w:r w:rsidRPr="006E33E6">
              <w:rPr>
                <w:rFonts w:asciiTheme="minorHAnsi" w:hAnsiTheme="minorHAnsi" w:cstheme="minorHAnsi"/>
              </w:rPr>
              <w:br/>
            </w:r>
            <w:r w:rsidRPr="006E33E6">
              <w:rPr>
                <w:rFonts w:asciiTheme="minorHAnsi" w:hAnsiTheme="minorHAnsi" w:cstheme="minorHAnsi"/>
              </w:rPr>
              <w:t>Issue 1.1: Lack of understanding of the role of CDR</w:t>
            </w:r>
          </w:p>
        </w:tc>
      </w:tr>
      <w:tr w:rsidRPr="006E33E6" w:rsidR="006E33E6" w:rsidTr="00483F75" w14:paraId="0D88B9D3" w14:textId="77777777">
        <w:tc>
          <w:tcPr>
            <w:tcW w:w="10083" w:type="dxa"/>
            <w:gridSpan w:val="2"/>
          </w:tcPr>
          <w:p w:rsidRPr="006E33E6" w:rsidR="00F74C6A" w:rsidP="00483F75" w:rsidRDefault="00F74C6A" w14:paraId="7C5B78E2" w14:textId="77777777">
            <w:pPr>
              <w:pStyle w:val="ListBullet"/>
              <w:numPr>
                <w:ilvl w:val="0"/>
                <w:numId w:val="0"/>
              </w:numPr>
              <w:rPr>
                <w:rFonts w:asciiTheme="minorHAnsi" w:hAnsiTheme="minorHAnsi" w:cstheme="minorHAnsi"/>
                <w:lang w:val="en-US"/>
              </w:rPr>
            </w:pPr>
            <w:r w:rsidRPr="006E33E6">
              <w:rPr>
                <w:rFonts w:asciiTheme="minorHAnsi" w:hAnsiTheme="minorHAnsi" w:cstheme="minorHAnsi"/>
                <w:lang w:val="en-US"/>
              </w:rPr>
              <w:t xml:space="preserve">Consumers were tested on the understanding of the process. </w:t>
            </w:r>
          </w:p>
          <w:p w:rsidRPr="006E33E6" w:rsidR="00F74C6A" w:rsidP="00483F75" w:rsidRDefault="00F74C6A" w14:paraId="5C3965F8" w14:textId="77777777">
            <w:pPr>
              <w:pStyle w:val="ListBullet"/>
              <w:numPr>
                <w:ilvl w:val="0"/>
                <w:numId w:val="0"/>
              </w:numPr>
              <w:rPr>
                <w:rFonts w:asciiTheme="minorHAnsi" w:hAnsiTheme="minorHAnsi" w:cstheme="minorHAnsi"/>
                <w:lang w:val="en-US"/>
              </w:rPr>
            </w:pPr>
            <w:r w:rsidRPr="006E33E6">
              <w:rPr>
                <w:rStyle w:val="normaltextrun"/>
                <w:rFonts w:asciiTheme="minorHAnsi" w:hAnsiTheme="minorHAnsi" w:cstheme="minorHAnsi"/>
                <w:lang w:val="en-US"/>
              </w:rPr>
              <w:t>Because</w:t>
            </w:r>
            <w:r w:rsidRPr="006E33E6">
              <w:rPr>
                <w:rStyle w:val="normaltextrun"/>
                <w:rFonts w:asciiTheme="minorHAnsi" w:hAnsiTheme="minorHAnsi" w:cstheme="minorHAnsi"/>
              </w:rPr>
              <w:t xml:space="preserve"> the app said, ‘</w:t>
            </w:r>
            <w:proofErr w:type="spellStart"/>
            <w:r w:rsidRPr="006E33E6">
              <w:rPr>
                <w:rStyle w:val="normaltextrun"/>
                <w:rFonts w:asciiTheme="minorHAnsi" w:hAnsiTheme="minorHAnsi" w:cstheme="minorHAnsi"/>
                <w:i/>
                <w:iCs/>
                <w:u w:val="single"/>
                <w:lang w:val="en-US"/>
              </w:rPr>
              <w:t>Comparebanks</w:t>
            </w:r>
            <w:proofErr w:type="spellEnd"/>
            <w:r w:rsidRPr="006E33E6">
              <w:rPr>
                <w:rStyle w:val="normaltextrun"/>
                <w:rFonts w:asciiTheme="minorHAnsi" w:hAnsiTheme="minorHAnsi" w:cstheme="minorHAnsi"/>
                <w:lang w:val="en-US"/>
              </w:rPr>
              <w:t xml:space="preserve"> is approved by the Australian Government to collect and use data.’</w:t>
            </w:r>
            <w:r w:rsidRPr="006E33E6">
              <w:rPr>
                <w:rFonts w:asciiTheme="minorHAnsi" w:hAnsiTheme="minorHAnsi" w:cstheme="minorHAnsi"/>
                <w:lang w:val="en-US"/>
              </w:rPr>
              <w:t xml:space="preserve">9 out of 10 consumers believed this conveyed that </w:t>
            </w:r>
            <w:proofErr w:type="spellStart"/>
            <w:r w:rsidRPr="006E33E6">
              <w:rPr>
                <w:rFonts w:asciiTheme="minorHAnsi" w:hAnsiTheme="minorHAnsi" w:cstheme="minorHAnsi"/>
                <w:i/>
                <w:iCs/>
                <w:lang w:val="en-US"/>
              </w:rPr>
              <w:t>CompareBanks</w:t>
            </w:r>
            <w:proofErr w:type="spellEnd"/>
            <w:r w:rsidRPr="006E33E6">
              <w:rPr>
                <w:rFonts w:asciiTheme="minorHAnsi" w:hAnsiTheme="minorHAnsi" w:cstheme="minorHAnsi"/>
                <w:lang w:val="en-US"/>
              </w:rPr>
              <w:t xml:space="preserve"> was from, and controlled by, the Government. Therefore, they believed they were sharing their data with the Government.</w:t>
            </w:r>
          </w:p>
          <w:p w:rsidRPr="006E33E6" w:rsidR="00F74C6A" w:rsidP="00483F75" w:rsidRDefault="00F74C6A" w14:paraId="2109BC47" w14:textId="77777777">
            <w:pPr>
              <w:pStyle w:val="ListBullet"/>
              <w:numPr>
                <w:ilvl w:val="0"/>
                <w:numId w:val="0"/>
              </w:numPr>
              <w:rPr>
                <w:rFonts w:asciiTheme="minorHAnsi" w:hAnsiTheme="minorHAnsi" w:cstheme="minorHAnsi"/>
              </w:rPr>
            </w:pPr>
            <w:r w:rsidRPr="006E33E6">
              <w:rPr>
                <w:rFonts w:asciiTheme="minorHAnsi" w:hAnsiTheme="minorHAnsi" w:cstheme="minorHAnsi"/>
              </w:rPr>
              <w:t>The consumers stated they were comfortable with their data being accessed by the Government but were confused why the Government was collecting their data this way.</w:t>
            </w:r>
          </w:p>
        </w:tc>
      </w:tr>
      <w:tr w:rsidRPr="006E33E6" w:rsidR="006E33E6" w:rsidTr="00483F75" w14:paraId="74CF9718" w14:textId="77777777">
        <w:tc>
          <w:tcPr>
            <w:tcW w:w="2830" w:type="dxa"/>
          </w:tcPr>
          <w:p w:rsidRPr="006E33E6" w:rsidR="00F74C6A" w:rsidP="00483F75" w:rsidRDefault="00F74C6A" w14:paraId="514D98CF" w14:textId="77777777">
            <w:pPr>
              <w:pStyle w:val="ListBullet"/>
              <w:numPr>
                <w:ilvl w:val="0"/>
                <w:numId w:val="0"/>
              </w:numPr>
              <w:rPr>
                <w:rFonts w:asciiTheme="minorHAnsi" w:hAnsiTheme="minorHAnsi" w:cstheme="minorHAnsi"/>
                <w:lang w:val="en-US"/>
              </w:rPr>
            </w:pPr>
            <w:r w:rsidRPr="006E33E6">
              <w:rPr>
                <w:rFonts w:asciiTheme="minorHAnsi" w:hAnsiTheme="minorHAnsi" w:cstheme="minorHAnsi"/>
                <w:b/>
                <w:bCs/>
              </w:rPr>
              <w:t xml:space="preserve">Recommendation: </w:t>
            </w:r>
            <w:r w:rsidRPr="006E33E6">
              <w:rPr>
                <w:rFonts w:asciiTheme="minorHAnsi" w:hAnsiTheme="minorHAnsi" w:cstheme="minorHAnsi"/>
              </w:rPr>
              <w:br/>
            </w:r>
            <w:r w:rsidRPr="006E33E6">
              <w:rPr>
                <w:rFonts w:asciiTheme="minorHAnsi" w:hAnsiTheme="minorHAnsi" w:cstheme="minorHAnsi"/>
                <w:b/>
                <w:bCs/>
              </w:rPr>
              <w:t>Improve Understanding</w:t>
            </w:r>
          </w:p>
          <w:p w:rsidRPr="006E33E6" w:rsidR="00F74C6A" w:rsidP="00483F75" w:rsidRDefault="00F74C6A" w14:paraId="28EC3024" w14:textId="77777777">
            <w:pPr>
              <w:pStyle w:val="ListBullet"/>
              <w:numPr>
                <w:ilvl w:val="0"/>
                <w:numId w:val="0"/>
              </w:numPr>
              <w:rPr>
                <w:rFonts w:asciiTheme="minorHAnsi" w:hAnsiTheme="minorHAnsi" w:cstheme="minorHAnsi"/>
                <w:lang w:val="en-US"/>
              </w:rPr>
            </w:pPr>
          </w:p>
        </w:tc>
        <w:tc>
          <w:tcPr>
            <w:tcW w:w="7253" w:type="dxa"/>
          </w:tcPr>
          <w:p w:rsidRPr="006E33E6" w:rsidR="00F74C6A" w:rsidP="00483F75" w:rsidRDefault="00F74C6A" w14:paraId="07FFA0FC" w14:textId="77777777">
            <w:pPr>
              <w:pStyle w:val="ListBullet"/>
              <w:numPr>
                <w:ilvl w:val="0"/>
                <w:numId w:val="0"/>
              </w:numPr>
              <w:rPr>
                <w:rFonts w:asciiTheme="minorHAnsi" w:hAnsiTheme="minorHAnsi" w:cstheme="minorHAnsi"/>
                <w:lang w:val="en-GB"/>
              </w:rPr>
            </w:pPr>
            <w:r w:rsidRPr="006E33E6">
              <w:rPr>
                <w:rFonts w:asciiTheme="minorHAnsi" w:hAnsiTheme="minorHAnsi" w:cstheme="minorHAnsi"/>
                <w:lang w:val="en-GB"/>
              </w:rPr>
              <w:t xml:space="preserve"> CX research should continue to be conducted to support the comprehensibility of data sharing, as well as consumer perceptions regarding trustworthiness and transparency of the CDR, as it relates to the Data Standards.</w:t>
            </w:r>
          </w:p>
        </w:tc>
      </w:tr>
    </w:tbl>
    <w:p w:rsidRPr="006E33E6" w:rsidR="00F74C6A" w:rsidP="00F74C6A" w:rsidRDefault="00F74C6A" w14:paraId="5AE472B9" w14:textId="77777777">
      <w:pPr>
        <w:pStyle w:val="Indent1"/>
        <w:numPr>
          <w:ilvl w:val="1"/>
          <w:numId w:val="0"/>
        </w:numPr>
        <w:tabs>
          <w:tab w:val="num" w:pos="1822"/>
        </w:tabs>
        <w:ind w:left="567"/>
        <w:rPr>
          <w:rFonts w:asciiTheme="minorHAnsi" w:hAnsiTheme="minorHAnsi" w:cstheme="minorHAnsi"/>
        </w:rPr>
      </w:pPr>
    </w:p>
    <w:p w:rsidRPr="006E33E6" w:rsidR="00F74C6A" w:rsidP="00F74C6A" w:rsidRDefault="00F74C6A" w14:paraId="0911F88E" w14:textId="77777777">
      <w:r w:rsidRPr="006E33E6">
        <w:rPr>
          <w:b/>
        </w:rPr>
        <w:br w:type="page"/>
      </w:r>
    </w:p>
    <w:tbl>
      <w:tblPr>
        <w:tblStyle w:val="Tables-APBase"/>
        <w:tblW w:w="0" w:type="auto"/>
        <w:tblLook w:val="04A0" w:firstRow="1" w:lastRow="0" w:firstColumn="1" w:lastColumn="0" w:noHBand="0" w:noVBand="1"/>
      </w:tblPr>
      <w:tblGrid>
        <w:gridCol w:w="2778"/>
        <w:gridCol w:w="7077"/>
      </w:tblGrid>
      <w:tr w:rsidRPr="006E33E6" w:rsidR="006E33E6" w:rsidTr="00483F75" w14:paraId="6C3945DB"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083" w:type="dxa"/>
            <w:gridSpan w:val="2"/>
            <w:shd w:val="clear" w:color="auto" w:fill="DC6900" w:themeFill="accent1"/>
          </w:tcPr>
          <w:p w:rsidRPr="006E33E6" w:rsidR="00F74C6A" w:rsidP="00483F75" w:rsidRDefault="00F74C6A" w14:paraId="11790ECB" w14:textId="77777777">
            <w:pPr>
              <w:pStyle w:val="Tableheadings"/>
              <w:rPr>
                <w:rFonts w:asciiTheme="minorHAnsi" w:hAnsiTheme="minorHAnsi" w:cstheme="minorHAnsi"/>
                <w:bCs/>
              </w:rPr>
            </w:pPr>
            <w:r w:rsidRPr="006E33E6">
              <w:rPr>
                <w:rFonts w:asciiTheme="minorHAnsi" w:hAnsiTheme="minorHAnsi" w:cstheme="minorHAnsi"/>
              </w:rPr>
              <w:lastRenderedPageBreak/>
              <w:t>Issue theme 1: Transparency</w:t>
            </w:r>
            <w:r w:rsidRPr="006E33E6">
              <w:rPr>
                <w:rFonts w:asciiTheme="minorHAnsi" w:hAnsiTheme="minorHAnsi" w:cstheme="minorHAnsi"/>
              </w:rPr>
              <w:br/>
            </w:r>
            <w:r w:rsidRPr="006E33E6">
              <w:rPr>
                <w:rFonts w:asciiTheme="minorHAnsi" w:hAnsiTheme="minorHAnsi" w:cstheme="minorHAnsi"/>
              </w:rPr>
              <w:t>Issue 1.2: Lack of trust</w:t>
            </w:r>
          </w:p>
        </w:tc>
      </w:tr>
      <w:tr w:rsidRPr="006E33E6" w:rsidR="006E33E6" w:rsidTr="00483F75" w14:paraId="41133EA8" w14:textId="77777777">
        <w:tc>
          <w:tcPr>
            <w:tcW w:w="10083" w:type="dxa"/>
            <w:gridSpan w:val="2"/>
          </w:tcPr>
          <w:p w:rsidRPr="006E33E6" w:rsidR="00F74C6A" w:rsidP="00483F75" w:rsidRDefault="00F74C6A" w14:paraId="6C39C0AB" w14:textId="77777777">
            <w:pPr>
              <w:pStyle w:val="PwCNormal"/>
              <w:numPr>
                <w:ilvl w:val="0"/>
                <w:numId w:val="0"/>
              </w:numPr>
              <w:spacing w:after="120"/>
              <w:rPr>
                <w:rFonts w:asciiTheme="minorHAnsi" w:hAnsiTheme="minorHAnsi" w:cstheme="minorHAnsi"/>
              </w:rPr>
            </w:pPr>
            <w:r w:rsidRPr="006E33E6">
              <w:rPr>
                <w:rFonts w:asciiTheme="minorHAnsi" w:hAnsiTheme="minorHAnsi" w:cstheme="minorHAnsi"/>
              </w:rPr>
              <w:t xml:space="preserve">Consumers were not willing to share data with </w:t>
            </w:r>
            <w:proofErr w:type="spellStart"/>
            <w:r w:rsidRPr="006E33E6">
              <w:rPr>
                <w:rFonts w:asciiTheme="minorHAnsi" w:hAnsiTheme="minorHAnsi" w:cstheme="minorHAnsi"/>
                <w:i/>
                <w:iCs/>
              </w:rPr>
              <w:t>CompareBanks</w:t>
            </w:r>
            <w:proofErr w:type="spellEnd"/>
            <w:r w:rsidRPr="006E33E6">
              <w:rPr>
                <w:rFonts w:asciiTheme="minorHAnsi" w:hAnsiTheme="minorHAnsi" w:cstheme="minorHAnsi"/>
              </w:rPr>
              <w:t>:</w:t>
            </w:r>
          </w:p>
          <w:p w:rsidRPr="006E33E6" w:rsidR="00F74C6A" w:rsidP="00F74C6A" w:rsidRDefault="00F74C6A" w14:paraId="7EA13F5A" w14:textId="77777777">
            <w:pPr>
              <w:pStyle w:val="PwCNormal"/>
              <w:numPr>
                <w:ilvl w:val="0"/>
                <w:numId w:val="1"/>
              </w:numPr>
              <w:spacing w:after="120"/>
              <w:rPr>
                <w:rFonts w:asciiTheme="minorHAnsi" w:hAnsiTheme="minorHAnsi" w:cstheme="minorHAnsi"/>
              </w:rPr>
            </w:pPr>
            <w:r w:rsidRPr="006E33E6">
              <w:rPr>
                <w:rFonts w:asciiTheme="minorHAnsi" w:hAnsiTheme="minorHAnsi" w:cstheme="minorHAnsi"/>
              </w:rPr>
              <w:t>There was a lack of trust in sharing personal information, especially financial data, with the website.</w:t>
            </w:r>
          </w:p>
          <w:p w:rsidRPr="006E33E6" w:rsidR="00F74C6A" w:rsidP="00F74C6A" w:rsidRDefault="00F74C6A" w14:paraId="0B085ACE" w14:textId="77777777">
            <w:pPr>
              <w:pStyle w:val="PwCNormal"/>
              <w:numPr>
                <w:ilvl w:val="0"/>
                <w:numId w:val="1"/>
              </w:numPr>
              <w:spacing w:after="120"/>
              <w:rPr>
                <w:rFonts w:asciiTheme="minorHAnsi" w:hAnsiTheme="minorHAnsi" w:cstheme="minorHAnsi"/>
              </w:rPr>
            </w:pPr>
            <w:r w:rsidRPr="006E33E6">
              <w:rPr>
                <w:rFonts w:asciiTheme="minorHAnsi" w:hAnsiTheme="minorHAnsi" w:cstheme="minorHAnsi"/>
              </w:rPr>
              <w:t>Consumers said that they would exit the website, after the website requested to collect consumers' data for the next 12 months, because consumers assumed that the tool would request data from the past 12 months not the next 12 months.</w:t>
            </w:r>
          </w:p>
          <w:p w:rsidRPr="006E33E6" w:rsidR="00F74C6A" w:rsidP="00F74C6A" w:rsidRDefault="00F74C6A" w14:paraId="5A905518" w14:textId="77777777">
            <w:pPr>
              <w:pStyle w:val="PwCNormal"/>
              <w:numPr>
                <w:ilvl w:val="0"/>
                <w:numId w:val="1"/>
              </w:numPr>
              <w:spacing w:after="120"/>
              <w:rPr>
                <w:rFonts w:asciiTheme="minorHAnsi" w:hAnsiTheme="minorHAnsi" w:cstheme="minorHAnsi"/>
              </w:rPr>
            </w:pPr>
            <w:r w:rsidRPr="006E33E6">
              <w:rPr>
                <w:rFonts w:asciiTheme="minorHAnsi" w:hAnsiTheme="minorHAnsi" w:cstheme="minorHAnsi"/>
              </w:rPr>
              <w:t>All consumers reported not feeling comfortable with the sharing period.</w:t>
            </w:r>
          </w:p>
          <w:p w:rsidRPr="006E33E6" w:rsidR="00F74C6A" w:rsidP="00F74C6A" w:rsidRDefault="00F74C6A" w14:paraId="6E1D65C3" w14:textId="77777777">
            <w:pPr>
              <w:pStyle w:val="PwCNormal"/>
              <w:numPr>
                <w:ilvl w:val="0"/>
                <w:numId w:val="1"/>
              </w:numPr>
              <w:spacing w:after="120"/>
              <w:rPr>
                <w:rFonts w:asciiTheme="minorHAnsi" w:hAnsiTheme="minorHAnsi" w:cstheme="minorHAnsi"/>
              </w:rPr>
            </w:pPr>
            <w:r w:rsidRPr="006E33E6">
              <w:rPr>
                <w:rFonts w:asciiTheme="minorHAnsi" w:hAnsiTheme="minorHAnsi" w:cstheme="minorHAnsi"/>
              </w:rPr>
              <w:t>Consumers felt like they were being asked to give too much data away.</w:t>
            </w:r>
          </w:p>
          <w:p w:rsidRPr="006E33E6" w:rsidR="00F74C6A" w:rsidP="00F74C6A" w:rsidRDefault="00F74C6A" w14:paraId="78D5E731" w14:textId="77777777">
            <w:pPr>
              <w:pStyle w:val="PwCNormal"/>
              <w:numPr>
                <w:ilvl w:val="0"/>
                <w:numId w:val="1"/>
              </w:numPr>
              <w:spacing w:after="120"/>
              <w:rPr>
                <w:rFonts w:asciiTheme="minorHAnsi" w:hAnsiTheme="minorHAnsi" w:cstheme="minorHAnsi"/>
              </w:rPr>
            </w:pPr>
            <w:r w:rsidRPr="006E33E6">
              <w:rPr>
                <w:rFonts w:asciiTheme="minorHAnsi" w:hAnsiTheme="minorHAnsi" w:cstheme="minorHAnsi"/>
              </w:rPr>
              <w:t>The product did not explain to consumers what would happen if they did not consent to share any of their data. There was also no clear explanation for how sharing their data would affect the outcome.</w:t>
            </w:r>
          </w:p>
        </w:tc>
      </w:tr>
      <w:tr w:rsidRPr="006E33E6" w:rsidR="006E33E6" w:rsidTr="00483F75" w14:paraId="7C7EEE50" w14:textId="77777777">
        <w:tc>
          <w:tcPr>
            <w:tcW w:w="2830" w:type="dxa"/>
          </w:tcPr>
          <w:p w:rsidRPr="006E33E6" w:rsidR="00F74C6A" w:rsidP="00483F75" w:rsidRDefault="00F74C6A" w14:paraId="1A57969D" w14:textId="77777777">
            <w:pPr>
              <w:pStyle w:val="ListBullet"/>
              <w:numPr>
                <w:ilvl w:val="0"/>
                <w:numId w:val="0"/>
              </w:numPr>
              <w:rPr>
                <w:rFonts w:asciiTheme="minorHAnsi" w:hAnsiTheme="minorHAnsi" w:cstheme="minorHAnsi"/>
                <w:lang w:val="en-US"/>
              </w:rPr>
            </w:pPr>
            <w:r w:rsidRPr="006E33E6">
              <w:rPr>
                <w:rFonts w:asciiTheme="minorHAnsi" w:hAnsiTheme="minorHAnsi" w:cstheme="minorHAnsi"/>
                <w:b/>
                <w:bCs/>
              </w:rPr>
              <w:t xml:space="preserve">Recommendation: </w:t>
            </w:r>
            <w:r w:rsidRPr="006E33E6">
              <w:rPr>
                <w:rFonts w:asciiTheme="minorHAnsi" w:hAnsiTheme="minorHAnsi" w:cstheme="minorHAnsi"/>
              </w:rPr>
              <w:br/>
            </w:r>
            <w:r w:rsidRPr="006E33E6">
              <w:rPr>
                <w:rFonts w:asciiTheme="minorHAnsi" w:hAnsiTheme="minorHAnsi" w:cstheme="minorHAnsi"/>
                <w:b/>
                <w:bCs/>
              </w:rPr>
              <w:t>Build trust</w:t>
            </w:r>
          </w:p>
          <w:p w:rsidRPr="006E33E6" w:rsidR="00F74C6A" w:rsidP="00483F75" w:rsidRDefault="00F74C6A" w14:paraId="2D39C7DF" w14:textId="77777777">
            <w:pPr>
              <w:pStyle w:val="ListBullet"/>
              <w:numPr>
                <w:ilvl w:val="0"/>
                <w:numId w:val="0"/>
              </w:numPr>
              <w:rPr>
                <w:rFonts w:asciiTheme="minorHAnsi" w:hAnsiTheme="minorHAnsi" w:cstheme="minorHAnsi"/>
                <w:lang w:val="en-US"/>
              </w:rPr>
            </w:pPr>
          </w:p>
        </w:tc>
        <w:tc>
          <w:tcPr>
            <w:tcW w:w="7253" w:type="dxa"/>
          </w:tcPr>
          <w:p w:rsidRPr="006E33E6" w:rsidR="00F74C6A" w:rsidP="00483F75" w:rsidRDefault="00F74C6A" w14:paraId="1CB590C1" w14:textId="77777777">
            <w:pPr>
              <w:pStyle w:val="ListBullet"/>
              <w:numPr>
                <w:ilvl w:val="0"/>
                <w:numId w:val="0"/>
              </w:numPr>
              <w:rPr>
                <w:rFonts w:asciiTheme="minorHAnsi" w:hAnsiTheme="minorHAnsi" w:cstheme="minorHAnsi"/>
                <w:lang w:val="en-GB"/>
              </w:rPr>
            </w:pPr>
            <w:r w:rsidRPr="006E33E6">
              <w:rPr>
                <w:rFonts w:asciiTheme="minorHAnsi" w:hAnsiTheme="minorHAnsi" w:cstheme="minorHAnsi"/>
                <w:lang w:val="en-GB"/>
              </w:rPr>
              <w:t>CX research should continue to be conducted to support the comprehensibility of data sharing, as well as consumer perceptions regarding trustworthiness and transparency of the CDR, as it relates to the Data Standards.</w:t>
            </w:r>
          </w:p>
        </w:tc>
      </w:tr>
      <w:tr w:rsidRPr="006E33E6" w:rsidR="006E33E6" w:rsidTr="00483F75" w14:paraId="3A53C698" w14:textId="77777777">
        <w:tc>
          <w:tcPr>
            <w:tcW w:w="2830" w:type="dxa"/>
          </w:tcPr>
          <w:p w:rsidRPr="006E33E6" w:rsidR="00F74C6A" w:rsidP="00483F75" w:rsidRDefault="00F74C6A" w14:paraId="2C8967BA" w14:textId="77777777">
            <w:pPr>
              <w:pStyle w:val="PwCNormal"/>
              <w:numPr>
                <w:ilvl w:val="0"/>
                <w:numId w:val="0"/>
              </w:numPr>
              <w:rPr>
                <w:rFonts w:asciiTheme="minorHAnsi" w:hAnsiTheme="minorHAnsi" w:cstheme="minorHAnsi"/>
                <w:b/>
                <w:bCs/>
                <w:lang w:val="en-US"/>
              </w:rPr>
            </w:pPr>
            <w:r w:rsidRPr="006E33E6">
              <w:rPr>
                <w:rFonts w:asciiTheme="minorHAnsi" w:hAnsiTheme="minorHAnsi" w:cstheme="minorHAnsi"/>
                <w:b/>
                <w:bCs/>
                <w:lang w:val="en-US"/>
              </w:rPr>
              <w:t>Evidence and examples</w:t>
            </w:r>
          </w:p>
          <w:p w:rsidRPr="006E33E6" w:rsidR="00F74C6A" w:rsidP="00483F75" w:rsidRDefault="00F74C6A" w14:paraId="2E5D1D5E" w14:textId="77777777">
            <w:pPr>
              <w:pStyle w:val="PwCNormal"/>
              <w:numPr>
                <w:ilvl w:val="0"/>
                <w:numId w:val="0"/>
              </w:numPr>
              <w:rPr>
                <w:rFonts w:asciiTheme="minorHAnsi" w:hAnsiTheme="minorHAnsi" w:cstheme="minorHAnsi"/>
                <w:lang w:val="en-US"/>
              </w:rPr>
            </w:pPr>
            <w:r w:rsidRPr="006E33E6">
              <w:rPr>
                <w:rFonts w:asciiTheme="minorHAnsi" w:hAnsiTheme="minorHAnsi" w:cstheme="minorHAnsi"/>
                <w:lang w:val="en-US"/>
              </w:rPr>
              <w:t>There was confusion as to the role of the Government in the data transfer and storage (see issue 1.1).</w:t>
            </w:r>
          </w:p>
        </w:tc>
        <w:tc>
          <w:tcPr>
            <w:tcW w:w="7253" w:type="dxa"/>
          </w:tcPr>
          <w:p w:rsidRPr="006E33E6" w:rsidR="00F74C6A" w:rsidP="00483F75" w:rsidRDefault="00F74C6A" w14:paraId="453C6DF9" w14:textId="77777777">
            <w:pPr>
              <w:pStyle w:val="ListBullet"/>
              <w:numPr>
                <w:ilvl w:val="0"/>
                <w:numId w:val="0"/>
              </w:numPr>
              <w:rPr>
                <w:rFonts w:asciiTheme="minorHAnsi" w:hAnsiTheme="minorHAnsi" w:cstheme="minorHAnsi"/>
                <w:lang w:val="en-GB"/>
              </w:rPr>
            </w:pPr>
            <w:r w:rsidRPr="006E33E6">
              <w:rPr>
                <w:rFonts w:asciiTheme="minorHAnsi" w:hAnsiTheme="minorHAnsi" w:cstheme="minorHAnsi"/>
                <w:noProof/>
                <w:shd w:val="clear" w:color="auto" w:fill="E6E6E6"/>
              </w:rPr>
              <w:drawing>
                <wp:inline distT="0" distB="0" distL="0" distR="0" wp14:anchorId="2D13E5BF" wp14:editId="0C52AB9E">
                  <wp:extent cx="2633980" cy="619125"/>
                  <wp:effectExtent l="0" t="0" r="0" b="9525"/>
                  <wp:docPr id="15" name="Picture 15"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shot demonstrating issue described"/>
                          <pic:cNvPicPr>
                            <a:picLocks noChangeAspect="1" noChangeArrowheads="1"/>
                          </pic:cNvPicPr>
                        </pic:nvPicPr>
                        <pic:blipFill rotWithShape="1">
                          <a:blip r:embed="rId30">
                            <a:extLst>
                              <a:ext uri="{28A0092B-C50C-407E-A947-70E740481C1C}">
                                <a14:useLocalDpi xmlns:a14="http://schemas.microsoft.com/office/drawing/2010/main" val="0"/>
                              </a:ext>
                            </a:extLst>
                          </a:blip>
                          <a:srcRect t="15213" b="18864"/>
                          <a:stretch/>
                        </pic:blipFill>
                        <pic:spPr bwMode="auto">
                          <a:xfrm>
                            <a:off x="0" y="0"/>
                            <a:ext cx="2633980" cy="619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Pr="006E33E6" w:rsidR="006E33E6" w:rsidTr="00483F75" w14:paraId="515532C2" w14:textId="77777777">
        <w:tc>
          <w:tcPr>
            <w:tcW w:w="2830" w:type="dxa"/>
          </w:tcPr>
          <w:p w:rsidRPr="006E33E6" w:rsidR="00F74C6A" w:rsidP="00483F75" w:rsidRDefault="00F74C6A" w14:paraId="3AF68697" w14:textId="77777777">
            <w:pPr>
              <w:pStyle w:val="PwCNormal"/>
              <w:numPr>
                <w:ilvl w:val="0"/>
                <w:numId w:val="0"/>
              </w:numPr>
              <w:rPr>
                <w:rFonts w:asciiTheme="minorHAnsi" w:hAnsiTheme="minorHAnsi" w:cstheme="minorHAnsi"/>
                <w:lang w:val="en-US"/>
              </w:rPr>
            </w:pPr>
            <w:r w:rsidRPr="006E33E6">
              <w:rPr>
                <w:rFonts w:asciiTheme="minorHAnsi" w:hAnsiTheme="minorHAnsi" w:cstheme="minorHAnsi"/>
                <w:lang w:val="en-US"/>
              </w:rPr>
              <w:t xml:space="preserve">All consumers reported </w:t>
            </w:r>
            <w:r w:rsidRPr="006E33E6">
              <w:rPr>
                <w:rFonts w:asciiTheme="minorHAnsi" w:hAnsiTheme="minorHAnsi" w:cstheme="minorHAnsi"/>
                <w:b/>
                <w:bCs/>
                <w:i/>
                <w:iCs/>
                <w:lang w:val="en-US"/>
              </w:rPr>
              <w:t>not feeling comfortable</w:t>
            </w:r>
            <w:r w:rsidRPr="006E33E6">
              <w:rPr>
                <w:rFonts w:asciiTheme="minorHAnsi" w:hAnsiTheme="minorHAnsi" w:cstheme="minorHAnsi"/>
                <w:lang w:val="en-US"/>
              </w:rPr>
              <w:t xml:space="preserve"> with data sharing</w:t>
            </w:r>
          </w:p>
          <w:p w:rsidRPr="006E33E6" w:rsidR="00F74C6A" w:rsidP="00F74C6A" w:rsidRDefault="00F74C6A" w14:paraId="1E9632BD" w14:textId="77777777">
            <w:pPr>
              <w:pStyle w:val="PwCNormal"/>
              <w:numPr>
                <w:ilvl w:val="0"/>
                <w:numId w:val="1"/>
              </w:numPr>
              <w:spacing w:after="120"/>
              <w:ind w:left="714" w:hanging="357"/>
              <w:rPr>
                <w:rFonts w:asciiTheme="minorHAnsi" w:hAnsiTheme="minorHAnsi" w:cstheme="minorHAnsi"/>
              </w:rPr>
            </w:pPr>
            <w:r w:rsidRPr="006E33E6">
              <w:rPr>
                <w:rFonts w:asciiTheme="minorHAnsi" w:hAnsiTheme="minorHAnsi" w:cstheme="minorHAnsi"/>
              </w:rPr>
              <w:t>Lack of trust in sharing personal information, especially financial data with the website.</w:t>
            </w:r>
          </w:p>
          <w:p w:rsidRPr="006E33E6" w:rsidR="00F74C6A" w:rsidP="00F74C6A" w:rsidRDefault="00F74C6A" w14:paraId="03253503" w14:textId="77777777">
            <w:pPr>
              <w:pStyle w:val="PwCNormal"/>
              <w:numPr>
                <w:ilvl w:val="0"/>
                <w:numId w:val="1"/>
              </w:numPr>
              <w:spacing w:after="120"/>
              <w:ind w:left="714" w:hanging="357"/>
              <w:rPr>
                <w:rFonts w:asciiTheme="minorHAnsi" w:hAnsiTheme="minorHAnsi" w:cstheme="minorHAnsi"/>
              </w:rPr>
            </w:pPr>
            <w:r w:rsidRPr="006E33E6">
              <w:rPr>
                <w:rFonts w:asciiTheme="minorHAnsi" w:hAnsiTheme="minorHAnsi" w:cstheme="minorHAnsi"/>
              </w:rPr>
              <w:t>Consumers assumed that the tool would request data from the past 12 months, not the next 12 months.</w:t>
            </w:r>
          </w:p>
          <w:p w:rsidRPr="006E33E6" w:rsidR="00F74C6A" w:rsidP="00F74C6A" w:rsidRDefault="00F74C6A" w14:paraId="456F57FB" w14:textId="77777777">
            <w:pPr>
              <w:pStyle w:val="PwCNormal"/>
              <w:numPr>
                <w:ilvl w:val="0"/>
                <w:numId w:val="1"/>
              </w:numPr>
              <w:spacing w:after="120"/>
              <w:ind w:left="714" w:hanging="357"/>
              <w:rPr>
                <w:rFonts w:asciiTheme="minorHAnsi" w:hAnsiTheme="minorHAnsi" w:cstheme="minorHAnsi"/>
              </w:rPr>
            </w:pPr>
            <w:r w:rsidRPr="006E33E6">
              <w:rPr>
                <w:rFonts w:asciiTheme="minorHAnsi" w:hAnsiTheme="minorHAnsi" w:cstheme="minorHAnsi"/>
              </w:rPr>
              <w:t>All consumers reported not feeling comfortable with the sharing period.</w:t>
            </w:r>
          </w:p>
          <w:p w:rsidRPr="006E33E6" w:rsidR="00F74C6A" w:rsidP="00483F75" w:rsidRDefault="00F74C6A" w14:paraId="5B8F1240" w14:textId="77777777">
            <w:pPr>
              <w:pStyle w:val="ListBullet"/>
              <w:numPr>
                <w:ilvl w:val="0"/>
                <w:numId w:val="0"/>
              </w:numPr>
              <w:rPr>
                <w:rFonts w:asciiTheme="minorHAnsi" w:hAnsiTheme="minorHAnsi" w:cstheme="minorHAnsi"/>
                <w:b/>
                <w:bCs/>
              </w:rPr>
            </w:pPr>
            <w:r w:rsidRPr="006E33E6">
              <w:rPr>
                <w:rFonts w:asciiTheme="minorHAnsi" w:hAnsiTheme="minorHAnsi" w:cstheme="minorHAnsi"/>
              </w:rPr>
              <w:t xml:space="preserve">Consumers felt like they were being asked to give too much data away, because </w:t>
            </w:r>
            <w:r w:rsidRPr="006E33E6">
              <w:rPr>
                <w:rFonts w:asciiTheme="minorHAnsi" w:hAnsiTheme="minorHAnsi" w:cstheme="minorHAnsi"/>
                <w:lang w:val="en-US"/>
              </w:rPr>
              <w:t>there was no explanation for why their data was needed, and what would happen if they decided not to share it.</w:t>
            </w:r>
          </w:p>
        </w:tc>
        <w:tc>
          <w:tcPr>
            <w:tcW w:w="7253" w:type="dxa"/>
          </w:tcPr>
          <w:p w:rsidRPr="006E33E6" w:rsidR="00F74C6A" w:rsidP="00483F75" w:rsidRDefault="00F74C6A" w14:paraId="1ABBF878" w14:textId="77777777">
            <w:pPr>
              <w:pStyle w:val="PwCNormal"/>
              <w:numPr>
                <w:ilvl w:val="0"/>
                <w:numId w:val="0"/>
              </w:numPr>
              <w:rPr>
                <w:rFonts w:asciiTheme="minorHAnsi" w:hAnsiTheme="minorHAnsi" w:cstheme="minorHAnsi"/>
                <w:lang w:val="en-US"/>
              </w:rPr>
            </w:pPr>
            <w:r w:rsidRPr="006E33E6">
              <w:rPr>
                <w:rFonts w:asciiTheme="minorHAnsi" w:hAnsiTheme="minorHAnsi" w:cstheme="minorHAnsi"/>
                <w:noProof/>
                <w:shd w:val="clear" w:color="auto" w:fill="E6E6E6"/>
              </w:rPr>
              <w:drawing>
                <wp:inline distT="0" distB="0" distL="0" distR="0" wp14:anchorId="0BBBDF12" wp14:editId="2973130A">
                  <wp:extent cx="2390303" cy="1055859"/>
                  <wp:effectExtent l="0" t="0" r="0" b="0"/>
                  <wp:docPr id="20" name="Picture 4" descr="Screen shot demonstrating issue described">
                    <a:extLst xmlns:a="http://schemas.openxmlformats.org/drawingml/2006/main">
                      <a:ext uri="{FF2B5EF4-FFF2-40B4-BE49-F238E27FC236}">
                        <a16:creationId xmlns:a16="http://schemas.microsoft.com/office/drawing/2014/main" id="{459A7CA7-2AC3-BD62-AFAD-53E5946C95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Screen shot demonstrating issue described">
                            <a:extLst>
                              <a:ext uri="{FF2B5EF4-FFF2-40B4-BE49-F238E27FC236}">
                                <a16:creationId xmlns:a16="http://schemas.microsoft.com/office/drawing/2014/main" id="{459A7CA7-2AC3-BD62-AFAD-53E5946C9537}"/>
                              </a:ext>
                            </a:extLst>
                          </pic:cNvPr>
                          <pic:cNvPicPr>
                            <a:picLocks noChangeAspect="1"/>
                          </pic:cNvPicPr>
                        </pic:nvPicPr>
                        <pic:blipFill rotWithShape="1">
                          <a:blip r:embed="rId31"/>
                          <a:srcRect t="5329" b="75788"/>
                          <a:stretch/>
                        </pic:blipFill>
                        <pic:spPr bwMode="auto">
                          <a:xfrm>
                            <a:off x="0" y="0"/>
                            <a:ext cx="2416716" cy="1067526"/>
                          </a:xfrm>
                          <a:prstGeom prst="rect">
                            <a:avLst/>
                          </a:prstGeom>
                          <a:ln>
                            <a:noFill/>
                          </a:ln>
                          <a:extLst>
                            <a:ext uri="{53640926-AAD7-44D8-BBD7-CCE9431645EC}">
                              <a14:shadowObscured xmlns:a14="http://schemas.microsoft.com/office/drawing/2010/main"/>
                            </a:ext>
                          </a:extLst>
                        </pic:spPr>
                      </pic:pic>
                    </a:graphicData>
                  </a:graphic>
                </wp:inline>
              </w:drawing>
            </w:r>
          </w:p>
          <w:p w:rsidRPr="006E33E6" w:rsidR="00F74C6A" w:rsidP="00483F75" w:rsidRDefault="00F74C6A" w14:paraId="3837D78E" w14:textId="77777777">
            <w:pPr>
              <w:pStyle w:val="ListBullet"/>
              <w:numPr>
                <w:ilvl w:val="0"/>
                <w:numId w:val="0"/>
              </w:numPr>
              <w:rPr>
                <w:rFonts w:asciiTheme="minorHAnsi" w:hAnsiTheme="minorHAnsi" w:cstheme="minorHAnsi"/>
                <w:lang w:val="en-GB"/>
              </w:rPr>
            </w:pPr>
            <w:r w:rsidRPr="006E33E6">
              <w:rPr>
                <w:rFonts w:asciiTheme="minorHAnsi" w:hAnsiTheme="minorHAnsi" w:cstheme="minorHAnsi"/>
                <w:noProof/>
              </w:rPr>
              <w:drawing>
                <wp:inline distT="0" distB="0" distL="0" distR="0" wp14:anchorId="06727329" wp14:editId="394EC8C8">
                  <wp:extent cx="2636003" cy="2130193"/>
                  <wp:effectExtent l="0" t="0" r="0" b="3810"/>
                  <wp:docPr id="17" name="Picture 9"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descr="Screen shot demonstrating issue described"/>
                          <pic:cNvPicPr/>
                        </pic:nvPicPr>
                        <pic:blipFill>
                          <a:blip r:embed="rId32">
                            <a:extLst>
                              <a:ext uri="{FF2B5EF4-FFF2-40B4-BE49-F238E27FC236}">
                                <a16:creationId xmlns:oel="http://schemas.microsoft.com/office/2019/extlst"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C67CB1A0-0042-47BA-8499-A0E651863052}"/>
                              </a:ext>
                            </a:extLst>
                          </a:blip>
                          <a:srcRect t="25398" b="40057"/>
                          <a:stretch>
                            <a:fillRect/>
                          </a:stretch>
                        </pic:blipFill>
                        <pic:spPr>
                          <a:xfrm>
                            <a:off x="0" y="0"/>
                            <a:ext cx="2636003" cy="2130193"/>
                          </a:xfrm>
                          <a:prstGeom prst="rect">
                            <a:avLst/>
                          </a:prstGeom>
                        </pic:spPr>
                      </pic:pic>
                    </a:graphicData>
                  </a:graphic>
                </wp:inline>
              </w:drawing>
            </w:r>
          </w:p>
        </w:tc>
      </w:tr>
    </w:tbl>
    <w:p w:rsidRPr="006E33E6" w:rsidR="00F74C6A" w:rsidP="00F74C6A" w:rsidRDefault="00F74C6A" w14:paraId="4C8923F4" w14:textId="77777777">
      <w:pPr>
        <w:pStyle w:val="Indent1"/>
        <w:numPr>
          <w:ilvl w:val="1"/>
          <w:numId w:val="0"/>
        </w:numPr>
        <w:tabs>
          <w:tab w:val="num" w:pos="1822"/>
        </w:tabs>
        <w:rPr>
          <w:rFonts w:asciiTheme="minorHAnsi" w:hAnsiTheme="minorHAnsi" w:cstheme="minorHAnsi"/>
        </w:rPr>
      </w:pPr>
    </w:p>
    <w:tbl>
      <w:tblPr>
        <w:tblStyle w:val="Tables-APBase"/>
        <w:tblW w:w="0" w:type="auto"/>
        <w:tblLook w:val="04A0" w:firstRow="1" w:lastRow="0" w:firstColumn="1" w:lastColumn="0" w:noHBand="0" w:noVBand="1"/>
      </w:tblPr>
      <w:tblGrid>
        <w:gridCol w:w="2794"/>
        <w:gridCol w:w="7061"/>
      </w:tblGrid>
      <w:tr w:rsidRPr="006E33E6" w:rsidR="006E33E6" w:rsidTr="00483F75" w14:paraId="446F2792"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083" w:type="dxa"/>
            <w:gridSpan w:val="2"/>
            <w:shd w:val="clear" w:color="auto" w:fill="DC6900" w:themeFill="accent1"/>
          </w:tcPr>
          <w:p w:rsidRPr="006E33E6" w:rsidR="00F74C6A" w:rsidP="00483F75" w:rsidRDefault="00F74C6A" w14:paraId="44351B8F" w14:textId="77777777">
            <w:pPr>
              <w:pStyle w:val="Tableheadings"/>
              <w:rPr>
                <w:rFonts w:asciiTheme="minorHAnsi" w:hAnsiTheme="minorHAnsi" w:cstheme="minorHAnsi"/>
                <w:bCs/>
              </w:rPr>
            </w:pPr>
            <w:r w:rsidRPr="006E33E6">
              <w:rPr>
                <w:rFonts w:asciiTheme="minorHAnsi" w:hAnsiTheme="minorHAnsi" w:cstheme="minorHAnsi"/>
              </w:rPr>
              <w:lastRenderedPageBreak/>
              <w:t>Issue theme 1: Transparency</w:t>
            </w:r>
            <w:r w:rsidRPr="006E33E6">
              <w:rPr>
                <w:rFonts w:asciiTheme="minorHAnsi" w:hAnsiTheme="minorHAnsi" w:cstheme="minorHAnsi"/>
              </w:rPr>
              <w:br/>
            </w:r>
            <w:r w:rsidRPr="006E33E6">
              <w:rPr>
                <w:rFonts w:asciiTheme="minorHAnsi" w:hAnsiTheme="minorHAnsi" w:cstheme="minorHAnsi"/>
              </w:rPr>
              <w:t>Issue 1.3: Safety</w:t>
            </w:r>
          </w:p>
        </w:tc>
      </w:tr>
      <w:tr w:rsidRPr="006E33E6" w:rsidR="006E33E6" w:rsidTr="00483F75" w14:paraId="5BFD5AF2" w14:textId="77777777">
        <w:tc>
          <w:tcPr>
            <w:tcW w:w="10083" w:type="dxa"/>
            <w:gridSpan w:val="2"/>
          </w:tcPr>
          <w:p w:rsidRPr="006E33E6" w:rsidR="00F74C6A" w:rsidP="00483F75" w:rsidRDefault="00F74C6A" w14:paraId="774DF815" w14:textId="77777777">
            <w:pPr>
              <w:pStyle w:val="Normal0"/>
              <w:rPr>
                <w:rFonts w:asciiTheme="minorHAnsi" w:hAnsiTheme="minorHAnsi" w:cstheme="minorHAnsi"/>
              </w:rPr>
            </w:pPr>
            <w:r w:rsidRPr="006E33E6">
              <w:rPr>
                <w:rFonts w:asciiTheme="minorHAnsi" w:hAnsiTheme="minorHAnsi" w:cstheme="minorHAnsi"/>
              </w:rPr>
              <w:t>Consumers are very aware of the risks of sharing data online. Most of them, however, do not have a solution to share data safely online.</w:t>
            </w:r>
          </w:p>
          <w:p w:rsidRPr="006E33E6" w:rsidR="00F74C6A" w:rsidP="00483F75" w:rsidRDefault="00F74C6A" w14:paraId="05333AFD" w14:textId="77777777">
            <w:pPr>
              <w:pStyle w:val="Normal0"/>
              <w:rPr>
                <w:rFonts w:asciiTheme="minorHAnsi" w:hAnsiTheme="minorHAnsi" w:cstheme="minorHAnsi"/>
              </w:rPr>
            </w:pPr>
            <w:r w:rsidRPr="006E33E6">
              <w:rPr>
                <w:rFonts w:asciiTheme="minorHAnsi" w:hAnsiTheme="minorHAnsi" w:cstheme="minorHAnsi"/>
              </w:rPr>
              <w:t>Consumers felt they were lacking the ability to safely input their data whilst protecting their privacy. The constant fear of having their personal information stolen, and this feeling of being unsafe online could potentially result in them not using such a product at all.</w:t>
            </w:r>
          </w:p>
          <w:p w:rsidRPr="006E33E6" w:rsidR="00F74C6A" w:rsidP="00483F75" w:rsidRDefault="00F74C6A" w14:paraId="196AAB0B" w14:textId="77777777">
            <w:pPr>
              <w:pStyle w:val="Normal0"/>
              <w:rPr>
                <w:rFonts w:asciiTheme="minorHAnsi" w:hAnsiTheme="minorHAnsi" w:cstheme="minorHAnsi"/>
              </w:rPr>
            </w:pPr>
            <w:r w:rsidRPr="006E33E6">
              <w:rPr>
                <w:rFonts w:asciiTheme="minorHAnsi" w:hAnsiTheme="minorHAnsi" w:cstheme="minorHAnsi"/>
              </w:rPr>
              <w:t xml:space="preserve">Physical safety was mentioned by consumers using this app, on mobile devices, in public spaces. </w:t>
            </w:r>
          </w:p>
          <w:p w:rsidRPr="006E33E6" w:rsidR="00F74C6A" w:rsidP="00483F75" w:rsidRDefault="00F74C6A" w14:paraId="2C308224" w14:textId="77777777">
            <w:pPr>
              <w:pStyle w:val="Normal0"/>
              <w:rPr>
                <w:rFonts w:asciiTheme="minorHAnsi" w:hAnsiTheme="minorHAnsi" w:cstheme="minorHAnsi"/>
              </w:rPr>
            </w:pPr>
            <w:r w:rsidRPr="006E33E6">
              <w:rPr>
                <w:rFonts w:asciiTheme="minorHAnsi" w:hAnsiTheme="minorHAnsi" w:cstheme="minorHAnsi"/>
              </w:rPr>
              <w:t>This was a common concern.</w:t>
            </w:r>
          </w:p>
        </w:tc>
      </w:tr>
      <w:tr w:rsidRPr="006E33E6" w:rsidR="006E33E6" w:rsidTr="00483F75" w14:paraId="757A0FF4" w14:textId="77777777">
        <w:tc>
          <w:tcPr>
            <w:tcW w:w="2830" w:type="dxa"/>
          </w:tcPr>
          <w:p w:rsidRPr="006E33E6" w:rsidR="00F74C6A" w:rsidP="00483F75" w:rsidRDefault="00F74C6A" w14:paraId="2196D4C7" w14:textId="77777777">
            <w:pPr>
              <w:pStyle w:val="ListBullet"/>
              <w:numPr>
                <w:ilvl w:val="0"/>
                <w:numId w:val="0"/>
              </w:numPr>
              <w:rPr>
                <w:rFonts w:asciiTheme="minorHAnsi" w:hAnsiTheme="minorHAnsi" w:cstheme="minorHAnsi"/>
                <w:lang w:val="en-US"/>
              </w:rPr>
            </w:pPr>
            <w:r w:rsidRPr="006E33E6">
              <w:rPr>
                <w:rFonts w:asciiTheme="minorHAnsi" w:hAnsiTheme="minorHAnsi" w:cstheme="minorHAnsi"/>
                <w:b/>
                <w:bCs/>
              </w:rPr>
              <w:t xml:space="preserve">Recommendation: </w:t>
            </w:r>
            <w:r w:rsidRPr="006E33E6">
              <w:rPr>
                <w:rFonts w:asciiTheme="minorHAnsi" w:hAnsiTheme="minorHAnsi" w:cstheme="minorHAnsi"/>
              </w:rPr>
              <w:br/>
            </w:r>
            <w:r w:rsidRPr="006E33E6">
              <w:rPr>
                <w:rFonts w:asciiTheme="minorHAnsi" w:hAnsiTheme="minorHAnsi" w:cstheme="minorHAnsi"/>
                <w:b/>
                <w:bCs/>
              </w:rPr>
              <w:t xml:space="preserve">Consider showing how the CDR recommends that participants address digital and physical safety. </w:t>
            </w:r>
          </w:p>
          <w:p w:rsidRPr="006E33E6" w:rsidR="00F74C6A" w:rsidP="00483F75" w:rsidRDefault="00F74C6A" w14:paraId="326D881F" w14:textId="77777777">
            <w:pPr>
              <w:pStyle w:val="ListBullet"/>
              <w:numPr>
                <w:ilvl w:val="0"/>
                <w:numId w:val="0"/>
              </w:numPr>
              <w:rPr>
                <w:rFonts w:asciiTheme="minorHAnsi" w:hAnsiTheme="minorHAnsi" w:cstheme="minorHAnsi"/>
                <w:lang w:val="en-US"/>
              </w:rPr>
            </w:pPr>
          </w:p>
        </w:tc>
        <w:tc>
          <w:tcPr>
            <w:tcW w:w="7253" w:type="dxa"/>
          </w:tcPr>
          <w:p w:rsidRPr="006E33E6" w:rsidR="00F74C6A" w:rsidP="00F74C6A" w:rsidRDefault="00F74C6A" w14:paraId="2F0BDF16" w14:textId="77777777">
            <w:pPr>
              <w:pStyle w:val="ListBullet"/>
              <w:numPr>
                <w:ilvl w:val="0"/>
                <w:numId w:val="15"/>
              </w:numPr>
              <w:rPr>
                <w:rFonts w:asciiTheme="minorHAnsi" w:hAnsiTheme="minorHAnsi" w:cstheme="minorHAnsi"/>
                <w:lang w:val="en-GB"/>
              </w:rPr>
            </w:pPr>
            <w:r w:rsidRPr="006E33E6">
              <w:rPr>
                <w:rFonts w:asciiTheme="minorHAnsi" w:hAnsiTheme="minorHAnsi" w:cstheme="minorHAnsi"/>
                <w:lang w:val="en-GB"/>
              </w:rPr>
              <w:t>CX research should continue to be conducted to support the comprehensibility of data sharing, as well as consumer perceptions regarding trustworthiness and transparency of the CDR, as it relates to the Data Standards.</w:t>
            </w:r>
          </w:p>
        </w:tc>
      </w:tr>
      <w:tr w:rsidRPr="006E33E6" w:rsidR="006E33E6" w:rsidTr="00483F75" w14:paraId="7092DCDD" w14:textId="77777777">
        <w:tc>
          <w:tcPr>
            <w:tcW w:w="2830" w:type="dxa"/>
          </w:tcPr>
          <w:p w:rsidRPr="006E33E6" w:rsidR="00F74C6A" w:rsidP="00483F75" w:rsidRDefault="00F74C6A" w14:paraId="66C2EFFC" w14:textId="77777777">
            <w:pPr>
              <w:pStyle w:val="ListBullet"/>
              <w:numPr>
                <w:ilvl w:val="0"/>
                <w:numId w:val="0"/>
              </w:numPr>
              <w:rPr>
                <w:rFonts w:asciiTheme="minorHAnsi" w:hAnsiTheme="minorHAnsi" w:cstheme="minorHAnsi"/>
                <w:b/>
                <w:bCs/>
                <w:lang w:val="en-US"/>
              </w:rPr>
            </w:pPr>
            <w:r w:rsidRPr="006E33E6">
              <w:rPr>
                <w:rFonts w:asciiTheme="minorHAnsi" w:hAnsiTheme="minorHAnsi" w:cstheme="minorHAnsi"/>
                <w:b/>
                <w:bCs/>
                <w:lang w:val="en-US"/>
              </w:rPr>
              <w:t>Evidence and examples</w:t>
            </w:r>
          </w:p>
          <w:p w:rsidRPr="006E33E6" w:rsidR="00F74C6A" w:rsidP="00483F75" w:rsidRDefault="00F74C6A" w14:paraId="5F7D898F" w14:textId="77777777">
            <w:pPr>
              <w:pStyle w:val="ListBullet"/>
              <w:numPr>
                <w:ilvl w:val="0"/>
                <w:numId w:val="0"/>
              </w:numPr>
              <w:rPr>
                <w:rFonts w:asciiTheme="minorHAnsi" w:hAnsiTheme="minorHAnsi" w:cstheme="minorHAnsi"/>
                <w:b/>
                <w:bCs/>
              </w:rPr>
            </w:pPr>
            <w:r w:rsidRPr="006E33E6">
              <w:rPr>
                <w:rFonts w:asciiTheme="minorHAnsi" w:hAnsiTheme="minorHAnsi" w:cstheme="minorHAnsi"/>
                <w:lang w:val="en-US"/>
              </w:rPr>
              <w:t xml:space="preserve">All participants hesitated on this page and were not sure if they would trust </w:t>
            </w:r>
            <w:proofErr w:type="spellStart"/>
            <w:r w:rsidRPr="006E33E6">
              <w:rPr>
                <w:rFonts w:asciiTheme="minorHAnsi" w:hAnsiTheme="minorHAnsi" w:cstheme="minorHAnsi"/>
                <w:i/>
                <w:iCs/>
                <w:lang w:val="en-US"/>
              </w:rPr>
              <w:t>CompareBanks</w:t>
            </w:r>
            <w:proofErr w:type="spellEnd"/>
            <w:r w:rsidRPr="006E33E6">
              <w:rPr>
                <w:rFonts w:asciiTheme="minorHAnsi" w:hAnsiTheme="minorHAnsi" w:cstheme="minorHAnsi"/>
                <w:lang w:val="en-US"/>
              </w:rPr>
              <w:t xml:space="preserve"> completely</w:t>
            </w:r>
          </w:p>
        </w:tc>
        <w:tc>
          <w:tcPr>
            <w:tcW w:w="7253" w:type="dxa"/>
          </w:tcPr>
          <w:p w:rsidRPr="006E33E6" w:rsidR="00F74C6A" w:rsidP="00483F75" w:rsidRDefault="00F74C6A" w14:paraId="6E132C2E" w14:textId="77777777">
            <w:pPr>
              <w:pStyle w:val="PwCNormal"/>
              <w:numPr>
                <w:ilvl w:val="0"/>
                <w:numId w:val="0"/>
              </w:numPr>
              <w:spacing w:after="0"/>
              <w:rPr>
                <w:rFonts w:asciiTheme="minorHAnsi" w:hAnsiTheme="minorHAnsi" w:cstheme="minorHAnsi"/>
              </w:rPr>
            </w:pPr>
            <w:r w:rsidRPr="006E33E6">
              <w:rPr>
                <w:rFonts w:asciiTheme="minorHAnsi" w:hAnsiTheme="minorHAnsi" w:cstheme="minorHAnsi"/>
                <w:noProof/>
              </w:rPr>
              <w:drawing>
                <wp:inline distT="0" distB="0" distL="0" distR="0" wp14:anchorId="1859961A" wp14:editId="228F1195">
                  <wp:extent cx="1561344" cy="3615070"/>
                  <wp:effectExtent l="0" t="0" r="1270" b="4445"/>
                  <wp:docPr id="1347" name="Picture 5"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Picture 5" descr="Screen shot demonstrating issue described"/>
                          <pic:cNvPicPr/>
                        </pic:nvPicPr>
                        <pic:blipFill>
                          <a:blip r:embed="rId32">
                            <a:extLst>
                              <a:ext uri="{FF2B5EF4-FFF2-40B4-BE49-F238E27FC236}">
                                <a16:creationId xmlns:oel="http://schemas.microsoft.com/office/2019/extlst"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F4D73862-E4A1-A6CE-E05A-E61FAC8EB057}"/>
                              </a:ext>
                            </a:extLst>
                          </a:blip>
                          <a:srcRect t="1" b="1022"/>
                          <a:stretch>
                            <a:fillRect/>
                          </a:stretch>
                        </pic:blipFill>
                        <pic:spPr>
                          <a:xfrm>
                            <a:off x="0" y="0"/>
                            <a:ext cx="1561344" cy="3615070"/>
                          </a:xfrm>
                          <a:prstGeom prst="rect">
                            <a:avLst/>
                          </a:prstGeom>
                        </pic:spPr>
                      </pic:pic>
                    </a:graphicData>
                  </a:graphic>
                </wp:inline>
              </w:drawing>
            </w:r>
          </w:p>
        </w:tc>
      </w:tr>
    </w:tbl>
    <w:p w:rsidRPr="006E33E6" w:rsidR="00F74C6A" w:rsidP="00F74C6A" w:rsidRDefault="00F74C6A" w14:paraId="4D3009BD" w14:textId="77777777"/>
    <w:p w:rsidRPr="006E33E6" w:rsidR="00F74C6A" w:rsidP="00F74C6A" w:rsidRDefault="00F74C6A" w14:paraId="46F27073" w14:textId="77777777">
      <w:pPr>
        <w:rPr>
          <w:b/>
        </w:rPr>
      </w:pPr>
    </w:p>
    <w:tbl>
      <w:tblPr>
        <w:tblStyle w:val="Tables-APBase"/>
        <w:tblW w:w="0" w:type="auto"/>
        <w:tblLook w:val="04A0" w:firstRow="1" w:lastRow="0" w:firstColumn="1" w:lastColumn="0" w:noHBand="0" w:noVBand="1"/>
      </w:tblPr>
      <w:tblGrid>
        <w:gridCol w:w="2777"/>
        <w:gridCol w:w="7078"/>
      </w:tblGrid>
      <w:tr w:rsidRPr="006E33E6" w:rsidR="006E33E6" w:rsidTr="00483F75" w14:paraId="2EA15FE8"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083" w:type="dxa"/>
            <w:gridSpan w:val="2"/>
            <w:shd w:val="clear" w:color="auto" w:fill="DC6900" w:themeFill="accent1"/>
          </w:tcPr>
          <w:p w:rsidRPr="006E33E6" w:rsidR="00F74C6A" w:rsidP="00483F75" w:rsidRDefault="00F74C6A" w14:paraId="5DD0CEFB" w14:textId="77777777">
            <w:pPr>
              <w:pStyle w:val="Tableheadings"/>
              <w:rPr>
                <w:rFonts w:asciiTheme="minorHAnsi" w:hAnsiTheme="minorHAnsi" w:cstheme="minorHAnsi"/>
                <w:bCs/>
              </w:rPr>
            </w:pPr>
            <w:r w:rsidRPr="006E33E6">
              <w:rPr>
                <w:rFonts w:asciiTheme="minorHAnsi" w:hAnsiTheme="minorHAnsi" w:cstheme="minorHAnsi"/>
              </w:rPr>
              <w:t>Issue theme 1: Transparency</w:t>
            </w:r>
            <w:r w:rsidRPr="006E33E6">
              <w:rPr>
                <w:rFonts w:asciiTheme="minorHAnsi" w:hAnsiTheme="minorHAnsi" w:cstheme="minorHAnsi"/>
              </w:rPr>
              <w:br/>
            </w:r>
            <w:r w:rsidRPr="006E33E6">
              <w:rPr>
                <w:rFonts w:asciiTheme="minorHAnsi" w:hAnsiTheme="minorHAnsi" w:cstheme="minorHAnsi"/>
              </w:rPr>
              <w:t xml:space="preserve">Issue 1.4: </w:t>
            </w:r>
            <w:r w:rsidRPr="006E33E6">
              <w:rPr>
                <w:rFonts w:asciiTheme="minorHAnsi" w:hAnsiTheme="minorHAnsi" w:cstheme="minorHAnsi"/>
                <w:bCs/>
              </w:rPr>
              <w:t>Control and Personalisation</w:t>
            </w:r>
          </w:p>
        </w:tc>
      </w:tr>
      <w:tr w:rsidRPr="006E33E6" w:rsidR="006E33E6" w:rsidTr="00483F75" w14:paraId="52187B74" w14:textId="77777777">
        <w:tc>
          <w:tcPr>
            <w:tcW w:w="10083" w:type="dxa"/>
            <w:gridSpan w:val="2"/>
          </w:tcPr>
          <w:p w:rsidRPr="006E33E6" w:rsidR="00F74C6A" w:rsidP="00483F75" w:rsidRDefault="00F74C6A" w14:paraId="7FE91042" w14:textId="77777777">
            <w:pPr>
              <w:pStyle w:val="Normal0"/>
              <w:rPr>
                <w:rFonts w:asciiTheme="minorHAnsi" w:hAnsiTheme="minorHAnsi" w:cstheme="minorHAnsi"/>
              </w:rPr>
            </w:pPr>
            <w:r w:rsidRPr="006E33E6">
              <w:rPr>
                <w:rFonts w:asciiTheme="minorHAnsi" w:hAnsiTheme="minorHAnsi" w:cstheme="minorHAnsi"/>
              </w:rPr>
              <w:t>Consumers voiced that they needed greater control in what data they shared. Consumers were willing to share more if they could choose from all the aspects of data sharing, not only the three general categories. This lack of control can lead to mistrust and disengagement if a consumer does not wish to share all their details.</w:t>
            </w:r>
          </w:p>
          <w:p w:rsidRPr="006E33E6" w:rsidR="00F74C6A" w:rsidP="00483F75" w:rsidRDefault="00F74C6A" w14:paraId="2B21B109" w14:textId="77777777">
            <w:pPr>
              <w:pStyle w:val="Normal0"/>
              <w:rPr>
                <w:rFonts w:asciiTheme="minorHAnsi" w:hAnsiTheme="minorHAnsi" w:cstheme="minorHAnsi"/>
              </w:rPr>
            </w:pPr>
            <w:r w:rsidRPr="006E33E6">
              <w:rPr>
                <w:rFonts w:asciiTheme="minorHAnsi" w:hAnsiTheme="minorHAnsi" w:cstheme="minorHAnsi"/>
              </w:rPr>
              <w:t xml:space="preserve">Many participants reported that they use multiple banks for different purposes. There was no explanation or justification, however, as to why consumers could only select one bank. </w:t>
            </w:r>
          </w:p>
          <w:p w:rsidRPr="006E33E6" w:rsidR="00F74C6A" w:rsidP="00483F75" w:rsidRDefault="00F74C6A" w14:paraId="46915FE4" w14:textId="77777777">
            <w:pPr>
              <w:pStyle w:val="Normal0"/>
              <w:rPr>
                <w:rFonts w:asciiTheme="minorHAnsi" w:hAnsiTheme="minorHAnsi" w:cstheme="minorHAnsi"/>
              </w:rPr>
            </w:pPr>
            <w:r w:rsidRPr="006E33E6">
              <w:rPr>
                <w:rFonts w:asciiTheme="minorHAnsi" w:hAnsiTheme="minorHAnsi" w:cstheme="minorHAnsi"/>
              </w:rPr>
              <w:t xml:space="preserve">Due to the complexity of consumers’ lives, there needs to be greater personalisation in the product </w:t>
            </w:r>
            <w:proofErr w:type="gramStart"/>
            <w:r w:rsidRPr="006E33E6">
              <w:rPr>
                <w:rFonts w:asciiTheme="minorHAnsi" w:hAnsiTheme="minorHAnsi" w:cstheme="minorHAnsi"/>
              </w:rPr>
              <w:t>in order to</w:t>
            </w:r>
            <w:proofErr w:type="gramEnd"/>
            <w:r w:rsidRPr="006E33E6">
              <w:rPr>
                <w:rFonts w:asciiTheme="minorHAnsi" w:hAnsiTheme="minorHAnsi" w:cstheme="minorHAnsi"/>
              </w:rPr>
              <w:t xml:space="preserve"> improve the accuracy and relevancy of the results. </w:t>
            </w:r>
          </w:p>
        </w:tc>
      </w:tr>
      <w:tr w:rsidRPr="006E33E6" w:rsidR="006E33E6" w:rsidTr="00483F75" w14:paraId="1555F8F8" w14:textId="77777777">
        <w:tc>
          <w:tcPr>
            <w:tcW w:w="2830" w:type="dxa"/>
          </w:tcPr>
          <w:p w:rsidRPr="006E33E6" w:rsidR="00F74C6A" w:rsidP="00483F75" w:rsidRDefault="00F74C6A" w14:paraId="1044F1E0" w14:textId="77777777">
            <w:pPr>
              <w:pStyle w:val="ListBullet"/>
              <w:numPr>
                <w:ilvl w:val="0"/>
                <w:numId w:val="0"/>
              </w:numPr>
              <w:rPr>
                <w:rFonts w:asciiTheme="minorHAnsi" w:hAnsiTheme="minorHAnsi" w:cstheme="minorHAnsi"/>
                <w:lang w:val="en-US"/>
              </w:rPr>
            </w:pPr>
            <w:r w:rsidRPr="006E33E6">
              <w:rPr>
                <w:rFonts w:asciiTheme="minorHAnsi" w:hAnsiTheme="minorHAnsi" w:cstheme="minorHAnsi"/>
                <w:b/>
                <w:bCs/>
              </w:rPr>
              <w:lastRenderedPageBreak/>
              <w:t xml:space="preserve">Recommendation: </w:t>
            </w:r>
            <w:r w:rsidRPr="006E33E6">
              <w:rPr>
                <w:rFonts w:asciiTheme="minorHAnsi" w:hAnsiTheme="minorHAnsi" w:cstheme="minorHAnsi"/>
              </w:rPr>
              <w:br/>
            </w:r>
            <w:r w:rsidRPr="006E33E6">
              <w:rPr>
                <w:rFonts w:asciiTheme="minorHAnsi" w:hAnsiTheme="minorHAnsi" w:cstheme="minorHAnsi"/>
                <w:b/>
                <w:bCs/>
              </w:rPr>
              <w:t>Allow more options within the process</w:t>
            </w:r>
          </w:p>
          <w:p w:rsidRPr="006E33E6" w:rsidR="00F74C6A" w:rsidP="00483F75" w:rsidRDefault="00F74C6A" w14:paraId="3FFFE4F5" w14:textId="77777777">
            <w:pPr>
              <w:pStyle w:val="ListBullet"/>
              <w:numPr>
                <w:ilvl w:val="0"/>
                <w:numId w:val="0"/>
              </w:numPr>
              <w:rPr>
                <w:rFonts w:asciiTheme="minorHAnsi" w:hAnsiTheme="minorHAnsi" w:cstheme="minorHAnsi"/>
                <w:lang w:val="en-US"/>
              </w:rPr>
            </w:pPr>
          </w:p>
        </w:tc>
        <w:tc>
          <w:tcPr>
            <w:tcW w:w="7253" w:type="dxa"/>
          </w:tcPr>
          <w:p w:rsidRPr="006E33E6" w:rsidR="00F74C6A" w:rsidP="00F74C6A" w:rsidRDefault="00F74C6A" w14:paraId="56FF68E3" w14:textId="77777777">
            <w:pPr>
              <w:pStyle w:val="ListBullet"/>
              <w:numPr>
                <w:ilvl w:val="0"/>
                <w:numId w:val="15"/>
              </w:numPr>
              <w:rPr>
                <w:rFonts w:asciiTheme="minorHAnsi" w:hAnsiTheme="minorHAnsi" w:cstheme="minorHAnsi"/>
                <w:lang w:val="en-GB"/>
              </w:rPr>
            </w:pPr>
            <w:r w:rsidRPr="006E33E6">
              <w:rPr>
                <w:rFonts w:asciiTheme="minorHAnsi" w:hAnsiTheme="minorHAnsi" w:cstheme="minorHAnsi"/>
                <w:lang w:val="en-GB"/>
              </w:rPr>
              <w:t xml:space="preserve">Allow for more personalisation options within the app while sharing the data. </w:t>
            </w:r>
          </w:p>
          <w:p w:rsidRPr="006E33E6" w:rsidR="00F74C6A" w:rsidP="00F74C6A" w:rsidRDefault="00F74C6A" w14:paraId="1F67BD29" w14:textId="77777777">
            <w:pPr>
              <w:pStyle w:val="ListBullet"/>
              <w:numPr>
                <w:ilvl w:val="0"/>
                <w:numId w:val="15"/>
              </w:numPr>
              <w:rPr>
                <w:rFonts w:asciiTheme="minorHAnsi" w:hAnsiTheme="minorHAnsi" w:cstheme="minorHAnsi"/>
                <w:lang w:val="en-GB"/>
              </w:rPr>
            </w:pPr>
            <w:r w:rsidRPr="006E33E6">
              <w:rPr>
                <w:rFonts w:asciiTheme="minorHAnsi" w:hAnsiTheme="minorHAnsi" w:cstheme="minorHAnsi"/>
                <w:lang w:val="en-GB"/>
              </w:rPr>
              <w:t xml:space="preserve">Consumers feel the need to be in control of their data. </w:t>
            </w:r>
          </w:p>
          <w:p w:rsidRPr="006E33E6" w:rsidR="00F74C6A" w:rsidP="00F74C6A" w:rsidRDefault="00F74C6A" w14:paraId="69D08890" w14:textId="77777777">
            <w:pPr>
              <w:pStyle w:val="ListBullet"/>
              <w:numPr>
                <w:ilvl w:val="0"/>
                <w:numId w:val="15"/>
              </w:numPr>
              <w:rPr>
                <w:rFonts w:asciiTheme="minorHAnsi" w:hAnsiTheme="minorHAnsi" w:cstheme="minorHAnsi"/>
                <w:lang w:val="en-GB"/>
              </w:rPr>
            </w:pPr>
            <w:r w:rsidRPr="006E33E6">
              <w:rPr>
                <w:rFonts w:asciiTheme="minorHAnsi" w:hAnsiTheme="minorHAnsi" w:cstheme="minorHAnsi"/>
                <w:lang w:val="en-GB"/>
              </w:rPr>
              <w:t xml:space="preserve">There needs to be a clear problem that the app solves for consumers. </w:t>
            </w:r>
          </w:p>
          <w:p w:rsidRPr="006E33E6" w:rsidR="00F74C6A" w:rsidP="00F74C6A" w:rsidRDefault="00F74C6A" w14:paraId="0013DEC6" w14:textId="77777777">
            <w:pPr>
              <w:pStyle w:val="ListBullet"/>
              <w:numPr>
                <w:ilvl w:val="0"/>
                <w:numId w:val="15"/>
              </w:numPr>
              <w:rPr>
                <w:rFonts w:asciiTheme="minorHAnsi" w:hAnsiTheme="minorHAnsi" w:cstheme="minorHAnsi"/>
                <w:lang w:val="en-GB"/>
              </w:rPr>
            </w:pPr>
            <w:r w:rsidRPr="006E33E6">
              <w:rPr>
                <w:rFonts w:asciiTheme="minorHAnsi" w:hAnsiTheme="minorHAnsi" w:cstheme="minorHAnsi"/>
                <w:lang w:val="en-GB"/>
              </w:rPr>
              <w:t>This should not be a one-size-fits-all product.</w:t>
            </w:r>
          </w:p>
        </w:tc>
      </w:tr>
      <w:tr w:rsidRPr="006E33E6" w:rsidR="006E33E6" w:rsidTr="00483F75" w14:paraId="7E1013F4" w14:textId="77777777">
        <w:tc>
          <w:tcPr>
            <w:tcW w:w="2830" w:type="dxa"/>
          </w:tcPr>
          <w:p w:rsidRPr="006E33E6" w:rsidR="00F74C6A" w:rsidP="00483F75" w:rsidRDefault="00F74C6A" w14:paraId="1E3D0DED" w14:textId="77777777">
            <w:pPr>
              <w:pStyle w:val="ListBullet"/>
              <w:numPr>
                <w:ilvl w:val="0"/>
                <w:numId w:val="0"/>
              </w:numPr>
              <w:rPr>
                <w:rFonts w:asciiTheme="minorHAnsi" w:hAnsiTheme="minorHAnsi" w:cstheme="minorHAnsi"/>
                <w:b/>
                <w:bCs/>
                <w:lang w:val="en-US"/>
              </w:rPr>
            </w:pPr>
            <w:r w:rsidRPr="006E33E6">
              <w:rPr>
                <w:rFonts w:asciiTheme="minorHAnsi" w:hAnsiTheme="minorHAnsi" w:cstheme="minorHAnsi"/>
                <w:b/>
                <w:bCs/>
                <w:lang w:val="en-US"/>
              </w:rPr>
              <w:t>Evidence and examples</w:t>
            </w:r>
          </w:p>
          <w:p w:rsidRPr="006E33E6" w:rsidR="00F74C6A" w:rsidP="00483F75" w:rsidRDefault="00F74C6A" w14:paraId="274BF756" w14:textId="77777777">
            <w:pPr>
              <w:pStyle w:val="ListBullet"/>
              <w:numPr>
                <w:ilvl w:val="0"/>
                <w:numId w:val="0"/>
              </w:numPr>
              <w:rPr>
                <w:rFonts w:asciiTheme="minorHAnsi" w:hAnsiTheme="minorHAnsi" w:cstheme="minorHAnsi"/>
                <w:b/>
                <w:bCs/>
              </w:rPr>
            </w:pPr>
            <w:r w:rsidRPr="006E33E6">
              <w:rPr>
                <w:rFonts w:asciiTheme="minorHAnsi" w:hAnsiTheme="minorHAnsi" w:cstheme="minorHAnsi"/>
                <w:lang w:val="en-US"/>
              </w:rPr>
              <w:t>Consumers wanted to be able to choose the sub-categories in these sections.</w:t>
            </w:r>
          </w:p>
        </w:tc>
        <w:tc>
          <w:tcPr>
            <w:tcW w:w="7253" w:type="dxa"/>
          </w:tcPr>
          <w:p w:rsidRPr="006E33E6" w:rsidR="00F74C6A" w:rsidP="00483F75" w:rsidRDefault="00F74C6A" w14:paraId="285C7563" w14:textId="77777777">
            <w:pPr>
              <w:pStyle w:val="PwCNormal"/>
              <w:numPr>
                <w:ilvl w:val="0"/>
                <w:numId w:val="0"/>
              </w:numPr>
              <w:spacing w:after="0"/>
              <w:rPr>
                <w:rFonts w:asciiTheme="minorHAnsi" w:hAnsiTheme="minorHAnsi" w:cstheme="minorHAnsi"/>
              </w:rPr>
            </w:pPr>
            <w:r w:rsidRPr="006E33E6">
              <w:rPr>
                <w:rFonts w:asciiTheme="minorHAnsi" w:hAnsiTheme="minorHAnsi" w:cstheme="minorHAnsi"/>
                <w:noProof/>
                <w:shd w:val="clear" w:color="auto" w:fill="E6E6E6"/>
              </w:rPr>
              <w:drawing>
                <wp:inline distT="0" distB="0" distL="0" distR="0" wp14:anchorId="1343A8C1" wp14:editId="362942A1">
                  <wp:extent cx="2665560" cy="3533775"/>
                  <wp:effectExtent l="0" t="0" r="1905" b="0"/>
                  <wp:docPr id="37" name="Picture 37"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 shot demonstrating issue described"/>
                          <pic:cNvPicPr/>
                        </pic:nvPicPr>
                        <pic:blipFill>
                          <a:blip r:embed="rId33">
                            <a:extLst>
                              <a:ext uri="{28A0092B-C50C-407E-A947-70E740481C1C}">
                                <a14:useLocalDpi xmlns:a14="http://schemas.microsoft.com/office/drawing/2010/main" val="0"/>
                              </a:ext>
                            </a:extLst>
                          </a:blip>
                          <a:stretch>
                            <a:fillRect/>
                          </a:stretch>
                        </pic:blipFill>
                        <pic:spPr>
                          <a:xfrm>
                            <a:off x="0" y="0"/>
                            <a:ext cx="2665560" cy="3533775"/>
                          </a:xfrm>
                          <a:prstGeom prst="rect">
                            <a:avLst/>
                          </a:prstGeom>
                        </pic:spPr>
                      </pic:pic>
                    </a:graphicData>
                  </a:graphic>
                </wp:inline>
              </w:drawing>
            </w:r>
          </w:p>
        </w:tc>
      </w:tr>
      <w:tr w:rsidRPr="006E33E6" w:rsidR="006E33E6" w:rsidTr="00483F75" w14:paraId="5EA7616D" w14:textId="77777777">
        <w:tc>
          <w:tcPr>
            <w:tcW w:w="2830" w:type="dxa"/>
          </w:tcPr>
          <w:p w:rsidRPr="006E33E6" w:rsidR="00F74C6A" w:rsidP="00483F75" w:rsidRDefault="00F74C6A" w14:paraId="49DA724C" w14:textId="77777777">
            <w:pPr>
              <w:pStyle w:val="ListBullet"/>
              <w:numPr>
                <w:ilvl w:val="0"/>
                <w:numId w:val="0"/>
              </w:numPr>
              <w:rPr>
                <w:rFonts w:asciiTheme="minorHAnsi" w:hAnsiTheme="minorHAnsi" w:cstheme="minorHAnsi"/>
                <w:b/>
                <w:bCs/>
                <w:lang w:val="en-US"/>
              </w:rPr>
            </w:pPr>
            <w:r w:rsidRPr="006E33E6">
              <w:rPr>
                <w:rFonts w:asciiTheme="minorHAnsi" w:hAnsiTheme="minorHAnsi" w:cstheme="minorHAnsi"/>
                <w:lang w:val="en-US"/>
              </w:rPr>
              <w:t>Need for ability to choose multiple banks, as consumers often use different banks for different reasons</w:t>
            </w:r>
          </w:p>
        </w:tc>
        <w:tc>
          <w:tcPr>
            <w:tcW w:w="7253" w:type="dxa"/>
          </w:tcPr>
          <w:p w:rsidRPr="006E33E6" w:rsidR="00F74C6A" w:rsidP="00483F75" w:rsidRDefault="00F74C6A" w14:paraId="5C5FB4C9" w14:textId="77777777">
            <w:pPr>
              <w:pStyle w:val="PwCNormal"/>
              <w:numPr>
                <w:ilvl w:val="0"/>
                <w:numId w:val="0"/>
              </w:numPr>
              <w:spacing w:after="0"/>
              <w:rPr>
                <w:rFonts w:asciiTheme="minorHAnsi" w:hAnsiTheme="minorHAnsi" w:cstheme="minorHAnsi"/>
              </w:rPr>
            </w:pPr>
            <w:r w:rsidRPr="006E33E6">
              <w:rPr>
                <w:rFonts w:asciiTheme="minorHAnsi" w:hAnsiTheme="minorHAnsi" w:cstheme="minorHAnsi"/>
                <w:noProof/>
                <w:shd w:val="clear" w:color="auto" w:fill="E6E6E6"/>
              </w:rPr>
              <w:drawing>
                <wp:inline distT="0" distB="0" distL="0" distR="0" wp14:anchorId="12B55583" wp14:editId="2B17167B">
                  <wp:extent cx="2639695" cy="1322705"/>
                  <wp:effectExtent l="0" t="0" r="8255" b="0"/>
                  <wp:docPr id="1350" name="Picture 1350"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Picture 1350" descr="Screen shot demonstrating issue described"/>
                          <pic:cNvPicPr/>
                        </pic:nvPicPr>
                        <pic:blipFill>
                          <a:blip r:embed="rId34">
                            <a:extLst>
                              <a:ext uri="{28A0092B-C50C-407E-A947-70E740481C1C}">
                                <a14:useLocalDpi xmlns:a14="http://schemas.microsoft.com/office/drawing/2010/main" val="0"/>
                              </a:ext>
                            </a:extLst>
                          </a:blip>
                          <a:stretch>
                            <a:fillRect/>
                          </a:stretch>
                        </pic:blipFill>
                        <pic:spPr>
                          <a:xfrm>
                            <a:off x="0" y="0"/>
                            <a:ext cx="2639695" cy="1322705"/>
                          </a:xfrm>
                          <a:prstGeom prst="rect">
                            <a:avLst/>
                          </a:prstGeom>
                        </pic:spPr>
                      </pic:pic>
                    </a:graphicData>
                  </a:graphic>
                </wp:inline>
              </w:drawing>
            </w:r>
          </w:p>
        </w:tc>
      </w:tr>
    </w:tbl>
    <w:p w:rsidRPr="006E33E6" w:rsidR="00F74C6A" w:rsidP="00F74C6A" w:rsidRDefault="00F74C6A" w14:paraId="11B61CF1" w14:textId="621C664C">
      <w:pPr>
        <w:rPr>
          <w:b/>
        </w:rPr>
      </w:pPr>
    </w:p>
    <w:tbl>
      <w:tblPr>
        <w:tblStyle w:val="Tables-APBase"/>
        <w:tblW w:w="0" w:type="auto"/>
        <w:tblLook w:val="04A0" w:firstRow="1" w:lastRow="0" w:firstColumn="1" w:lastColumn="0" w:noHBand="0" w:noVBand="1"/>
      </w:tblPr>
      <w:tblGrid>
        <w:gridCol w:w="2796"/>
        <w:gridCol w:w="7059"/>
      </w:tblGrid>
      <w:tr w:rsidRPr="006E33E6" w:rsidR="006E33E6" w:rsidTr="00483F75" w14:paraId="7B26F3D0"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083" w:type="dxa"/>
            <w:gridSpan w:val="2"/>
            <w:shd w:val="clear" w:color="auto" w:fill="DC6900" w:themeFill="accent1"/>
          </w:tcPr>
          <w:p w:rsidRPr="006E33E6" w:rsidR="00F74C6A" w:rsidP="00483F75" w:rsidRDefault="00F74C6A" w14:paraId="12810845" w14:textId="77777777">
            <w:pPr>
              <w:pStyle w:val="Tableheadings"/>
              <w:rPr>
                <w:rFonts w:asciiTheme="minorHAnsi" w:hAnsiTheme="minorHAnsi" w:cstheme="minorHAnsi"/>
                <w:bCs/>
              </w:rPr>
            </w:pPr>
            <w:r w:rsidRPr="006E33E6">
              <w:rPr>
                <w:rFonts w:asciiTheme="minorHAnsi" w:hAnsiTheme="minorHAnsi" w:cstheme="minorHAnsi"/>
              </w:rPr>
              <w:t>Issue theme 1: Transparency</w:t>
            </w:r>
            <w:r w:rsidRPr="006E33E6">
              <w:rPr>
                <w:rFonts w:asciiTheme="minorHAnsi" w:hAnsiTheme="minorHAnsi" w:cstheme="minorHAnsi"/>
              </w:rPr>
              <w:br/>
            </w:r>
            <w:r w:rsidRPr="006E33E6">
              <w:rPr>
                <w:rFonts w:asciiTheme="minorHAnsi" w:hAnsiTheme="minorHAnsi" w:cstheme="minorHAnsi"/>
              </w:rPr>
              <w:t>Issue 1.5: Hesitation to share data online, especially from smartphones</w:t>
            </w:r>
          </w:p>
        </w:tc>
      </w:tr>
      <w:tr w:rsidRPr="006E33E6" w:rsidR="006E33E6" w:rsidTr="00483F75" w14:paraId="548AF657" w14:textId="77777777">
        <w:tc>
          <w:tcPr>
            <w:tcW w:w="10083" w:type="dxa"/>
            <w:gridSpan w:val="2"/>
          </w:tcPr>
          <w:p w:rsidRPr="006E33E6" w:rsidR="00F74C6A" w:rsidP="00483F75" w:rsidRDefault="00F74C6A" w14:paraId="20646DF9" w14:textId="77777777">
            <w:pPr>
              <w:pStyle w:val="Normal0"/>
              <w:rPr>
                <w:rFonts w:asciiTheme="minorHAnsi" w:hAnsiTheme="minorHAnsi" w:cstheme="minorHAnsi"/>
              </w:rPr>
            </w:pPr>
            <w:r w:rsidRPr="006E33E6">
              <w:rPr>
                <w:rFonts w:asciiTheme="minorHAnsi" w:hAnsiTheme="minorHAnsi" w:cstheme="minorHAnsi"/>
              </w:rPr>
              <w:t>When talking about the participant’s experiences of sharing their personal data online, participants were hesitant to share any data from their smartphones.</w:t>
            </w:r>
          </w:p>
          <w:p w:rsidRPr="006E33E6" w:rsidR="00F74C6A" w:rsidP="00483F75" w:rsidRDefault="00F74C6A" w14:paraId="47DBA33A" w14:textId="77777777">
            <w:pPr>
              <w:pStyle w:val="Normal0"/>
              <w:rPr>
                <w:rFonts w:asciiTheme="minorHAnsi" w:hAnsiTheme="minorHAnsi" w:cstheme="minorHAnsi"/>
              </w:rPr>
            </w:pPr>
            <w:r w:rsidRPr="006E33E6">
              <w:rPr>
                <w:rFonts w:asciiTheme="minorHAnsi" w:hAnsiTheme="minorHAnsi" w:cstheme="minorHAnsi"/>
              </w:rPr>
              <w:t xml:space="preserve">Participants were aware of what it means to provide consent to share data and wanted more control on where and when they shared their personal information. </w:t>
            </w:r>
          </w:p>
          <w:p w:rsidRPr="006E33E6" w:rsidR="00F74C6A" w:rsidP="00483F75" w:rsidRDefault="00F74C6A" w14:paraId="5011C3A2" w14:textId="77777777">
            <w:pPr>
              <w:pStyle w:val="Normal0"/>
              <w:rPr>
                <w:rFonts w:asciiTheme="minorHAnsi" w:hAnsiTheme="minorHAnsi" w:cstheme="minorHAnsi"/>
              </w:rPr>
            </w:pPr>
            <w:r w:rsidRPr="006E33E6">
              <w:rPr>
                <w:rFonts w:asciiTheme="minorHAnsi" w:hAnsiTheme="minorHAnsi" w:cstheme="minorHAnsi"/>
              </w:rPr>
              <w:t xml:space="preserve">Participants expressed feelings of being scared, lost, annoyed, concerned and not safe when talking about their experiences with data sharing. </w:t>
            </w:r>
          </w:p>
        </w:tc>
      </w:tr>
      <w:tr w:rsidRPr="006E33E6" w:rsidR="006E33E6" w:rsidTr="00483F75" w14:paraId="1CCFAC8D" w14:textId="77777777">
        <w:tc>
          <w:tcPr>
            <w:tcW w:w="2830" w:type="dxa"/>
          </w:tcPr>
          <w:p w:rsidRPr="006E33E6" w:rsidR="00F74C6A" w:rsidP="00483F75" w:rsidRDefault="00F74C6A" w14:paraId="7219554C" w14:textId="77777777">
            <w:pPr>
              <w:pStyle w:val="ListBullet"/>
              <w:numPr>
                <w:ilvl w:val="0"/>
                <w:numId w:val="0"/>
              </w:numPr>
              <w:rPr>
                <w:rFonts w:asciiTheme="minorHAnsi" w:hAnsiTheme="minorHAnsi" w:cstheme="minorHAnsi"/>
                <w:lang w:val="en-US"/>
              </w:rPr>
            </w:pPr>
            <w:r w:rsidRPr="006E33E6">
              <w:rPr>
                <w:rFonts w:asciiTheme="minorHAnsi" w:hAnsiTheme="minorHAnsi" w:cstheme="minorHAnsi"/>
                <w:b/>
                <w:bCs/>
              </w:rPr>
              <w:t xml:space="preserve">Recommendation: </w:t>
            </w:r>
            <w:r w:rsidRPr="006E33E6">
              <w:rPr>
                <w:rFonts w:asciiTheme="minorHAnsi" w:hAnsiTheme="minorHAnsi" w:cstheme="minorHAnsi"/>
              </w:rPr>
              <w:br/>
            </w:r>
            <w:r w:rsidRPr="006E33E6">
              <w:rPr>
                <w:rFonts w:asciiTheme="minorHAnsi" w:hAnsiTheme="minorHAnsi" w:cstheme="minorHAnsi"/>
                <w:b/>
                <w:bCs/>
              </w:rPr>
              <w:t xml:space="preserve">Provide more transparency around data sharing, and the roles of </w:t>
            </w:r>
            <w:r w:rsidRPr="006E33E6">
              <w:rPr>
                <w:rFonts w:asciiTheme="minorHAnsi" w:hAnsiTheme="minorHAnsi" w:cstheme="minorHAnsi"/>
                <w:b/>
                <w:bCs/>
              </w:rPr>
              <w:lastRenderedPageBreak/>
              <w:t>financial institutions and governments in CDR</w:t>
            </w:r>
          </w:p>
          <w:p w:rsidRPr="006E33E6" w:rsidR="00F74C6A" w:rsidP="00483F75" w:rsidRDefault="00F74C6A" w14:paraId="50EA41D0" w14:textId="77777777">
            <w:pPr>
              <w:pStyle w:val="ListBullet"/>
              <w:numPr>
                <w:ilvl w:val="0"/>
                <w:numId w:val="0"/>
              </w:numPr>
              <w:rPr>
                <w:rFonts w:asciiTheme="minorHAnsi" w:hAnsiTheme="minorHAnsi" w:cstheme="minorHAnsi"/>
                <w:lang w:val="en-US"/>
              </w:rPr>
            </w:pPr>
          </w:p>
        </w:tc>
        <w:tc>
          <w:tcPr>
            <w:tcW w:w="7253" w:type="dxa"/>
          </w:tcPr>
          <w:p w:rsidRPr="006E33E6" w:rsidR="00F74C6A" w:rsidP="00F74C6A" w:rsidRDefault="00F74C6A" w14:paraId="45EBB67B" w14:textId="77777777">
            <w:pPr>
              <w:pStyle w:val="ListBullet"/>
              <w:numPr>
                <w:ilvl w:val="0"/>
                <w:numId w:val="15"/>
              </w:numPr>
              <w:rPr>
                <w:rFonts w:asciiTheme="minorHAnsi" w:hAnsiTheme="minorHAnsi" w:cstheme="minorHAnsi"/>
                <w:lang w:val="en-GB"/>
              </w:rPr>
            </w:pPr>
            <w:r w:rsidRPr="006E33E6">
              <w:rPr>
                <w:rFonts w:asciiTheme="minorHAnsi" w:hAnsiTheme="minorHAnsi" w:cstheme="minorHAnsi"/>
                <w:lang w:val="en-GB"/>
              </w:rPr>
              <w:lastRenderedPageBreak/>
              <w:t xml:space="preserve">In the reviewer’s experience, consumers trust government products more with data than non-government products. Therefore, the </w:t>
            </w:r>
            <w:r w:rsidRPr="006E33E6">
              <w:rPr>
                <w:rFonts w:asciiTheme="minorHAnsi" w:hAnsiTheme="minorHAnsi" w:cstheme="minorHAnsi"/>
                <w:lang w:val="en-GB"/>
              </w:rPr>
              <w:lastRenderedPageBreak/>
              <w:t xml:space="preserve">perception of the role of government in CDR is important. The role of each party must be clearly communicated to the consumer user.  </w:t>
            </w:r>
          </w:p>
          <w:p w:rsidRPr="006E33E6" w:rsidR="00F74C6A" w:rsidP="00F74C6A" w:rsidRDefault="00F74C6A" w14:paraId="7EC4786D" w14:textId="77777777">
            <w:pPr>
              <w:pStyle w:val="ListBullet"/>
              <w:numPr>
                <w:ilvl w:val="0"/>
                <w:numId w:val="15"/>
              </w:numPr>
              <w:rPr>
                <w:rFonts w:asciiTheme="minorHAnsi" w:hAnsiTheme="minorHAnsi" w:cstheme="minorHAnsi"/>
                <w:lang w:val="en-GB"/>
              </w:rPr>
            </w:pPr>
            <w:r w:rsidRPr="006E33E6">
              <w:rPr>
                <w:rFonts w:asciiTheme="minorHAnsi" w:hAnsiTheme="minorHAnsi" w:cstheme="minorHAnsi"/>
                <w:lang w:val="en-GB"/>
              </w:rPr>
              <w:t>When a “not trusted” site asked for data, consumers were likely to call the organisation so they could double-check the legitimacy of the product.</w:t>
            </w:r>
          </w:p>
          <w:p w:rsidRPr="006E33E6" w:rsidR="00F74C6A" w:rsidP="00F74C6A" w:rsidRDefault="00F74C6A" w14:paraId="524CF571" w14:textId="77777777">
            <w:pPr>
              <w:pStyle w:val="ListBullet"/>
              <w:numPr>
                <w:ilvl w:val="0"/>
                <w:numId w:val="15"/>
              </w:numPr>
              <w:rPr>
                <w:rFonts w:asciiTheme="minorHAnsi" w:hAnsiTheme="minorHAnsi" w:cstheme="minorHAnsi"/>
                <w:lang w:val="en-GB"/>
              </w:rPr>
            </w:pPr>
            <w:r w:rsidRPr="006E33E6">
              <w:rPr>
                <w:rFonts w:asciiTheme="minorHAnsi" w:hAnsiTheme="minorHAnsi" w:cstheme="minorHAnsi"/>
                <w:lang w:val="en-GB"/>
              </w:rPr>
              <w:t xml:space="preserve">Some consumers expressed that they would have liked for a regulatory body from the government that allows safe data sharing. </w:t>
            </w:r>
          </w:p>
          <w:p w:rsidRPr="006E33E6" w:rsidR="00F74C6A" w:rsidP="00F74C6A" w:rsidRDefault="00F74C6A" w14:paraId="6D70D607" w14:textId="77777777">
            <w:pPr>
              <w:pStyle w:val="ListBullet"/>
              <w:numPr>
                <w:ilvl w:val="0"/>
                <w:numId w:val="15"/>
              </w:numPr>
              <w:rPr>
                <w:rFonts w:asciiTheme="minorHAnsi" w:hAnsiTheme="minorHAnsi" w:cstheme="minorHAnsi"/>
                <w:lang w:val="en-GB"/>
              </w:rPr>
            </w:pPr>
            <w:r w:rsidRPr="006E33E6">
              <w:rPr>
                <w:rFonts w:asciiTheme="minorHAnsi" w:hAnsiTheme="minorHAnsi" w:cstheme="minorHAnsi"/>
                <w:lang w:val="en-GB"/>
              </w:rPr>
              <w:t>The success of the product relies on participants understanding how and why their data is being shared. The Chair has an opportunity to lead this conversation and be transparent in how the data is being shared. As a trusted provider, people would turn to the government for advice.</w:t>
            </w:r>
          </w:p>
        </w:tc>
      </w:tr>
    </w:tbl>
    <w:p w:rsidRPr="006E33E6" w:rsidR="00F74C6A" w:rsidP="00F74C6A" w:rsidRDefault="00F74C6A" w14:paraId="661B672D" w14:textId="77777777">
      <w:pPr>
        <w:rPr>
          <w:b/>
        </w:rPr>
      </w:pPr>
    </w:p>
    <w:p w:rsidRPr="006E33E6" w:rsidR="00F74C6A" w:rsidP="00F74C6A" w:rsidRDefault="00F74C6A" w14:paraId="44520DE7" w14:textId="77777777">
      <w:pPr>
        <w:rPr>
          <w:b/>
        </w:rPr>
      </w:pPr>
      <w:r w:rsidRPr="006E33E6">
        <w:rPr>
          <w:b/>
        </w:rPr>
        <w:br w:type="page"/>
      </w:r>
    </w:p>
    <w:tbl>
      <w:tblPr>
        <w:tblStyle w:val="Tables-APBase"/>
        <w:tblW w:w="0" w:type="auto"/>
        <w:tblLook w:val="04A0" w:firstRow="1" w:lastRow="0" w:firstColumn="1" w:lastColumn="0" w:noHBand="0" w:noVBand="1"/>
      </w:tblPr>
      <w:tblGrid>
        <w:gridCol w:w="2768"/>
        <w:gridCol w:w="7087"/>
      </w:tblGrid>
      <w:tr w:rsidRPr="006E33E6" w:rsidR="006E33E6" w:rsidTr="00483F75" w14:paraId="70B8A3EC"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083" w:type="dxa"/>
            <w:gridSpan w:val="2"/>
            <w:shd w:val="clear" w:color="auto" w:fill="DC6900" w:themeFill="accent1"/>
          </w:tcPr>
          <w:p w:rsidRPr="006E33E6" w:rsidR="00F74C6A" w:rsidP="00483F75" w:rsidRDefault="00F74C6A" w14:paraId="1AEC279E" w14:textId="77777777">
            <w:pPr>
              <w:pStyle w:val="Tableheadings"/>
              <w:rPr>
                <w:rFonts w:asciiTheme="minorHAnsi" w:hAnsiTheme="minorHAnsi" w:cstheme="minorHAnsi"/>
                <w:bCs/>
              </w:rPr>
            </w:pPr>
            <w:r w:rsidRPr="006E33E6">
              <w:rPr>
                <w:rFonts w:asciiTheme="minorHAnsi" w:hAnsiTheme="minorHAnsi" w:cstheme="minorHAnsi"/>
              </w:rPr>
              <w:lastRenderedPageBreak/>
              <w:t>Issue theme 2: Clarity and understanding</w:t>
            </w:r>
            <w:r w:rsidRPr="006E33E6">
              <w:rPr>
                <w:rFonts w:asciiTheme="minorHAnsi" w:hAnsiTheme="minorHAnsi" w:cstheme="minorHAnsi"/>
              </w:rPr>
              <w:br/>
            </w:r>
            <w:r w:rsidRPr="006E33E6">
              <w:rPr>
                <w:rFonts w:asciiTheme="minorHAnsi" w:hAnsiTheme="minorHAnsi" w:cstheme="minorHAnsi"/>
              </w:rPr>
              <w:t>Issue 2.1: Instructions</w:t>
            </w:r>
          </w:p>
        </w:tc>
      </w:tr>
      <w:tr w:rsidRPr="006E33E6" w:rsidR="006E33E6" w:rsidTr="00483F75" w14:paraId="6AFA9270" w14:textId="77777777">
        <w:tc>
          <w:tcPr>
            <w:tcW w:w="10083" w:type="dxa"/>
            <w:gridSpan w:val="2"/>
          </w:tcPr>
          <w:p w:rsidRPr="006E33E6" w:rsidR="00F74C6A" w:rsidP="00483F75" w:rsidRDefault="00F74C6A" w14:paraId="76759888" w14:textId="77777777">
            <w:pPr>
              <w:pStyle w:val="Normal0"/>
              <w:rPr>
                <w:rFonts w:asciiTheme="minorHAnsi" w:hAnsiTheme="minorHAnsi" w:cstheme="minorHAnsi"/>
              </w:rPr>
            </w:pPr>
            <w:r w:rsidRPr="006E33E6">
              <w:rPr>
                <w:rFonts w:asciiTheme="minorHAnsi" w:hAnsiTheme="minorHAnsi" w:cstheme="minorHAnsi"/>
              </w:rPr>
              <w:t>All consumers struggled to complete the data sharing process, because there was a lack of instructions and no clear goal defined.</w:t>
            </w:r>
          </w:p>
          <w:p w:rsidRPr="006E33E6" w:rsidR="00F74C6A" w:rsidP="00483F75" w:rsidRDefault="00F74C6A" w14:paraId="186986BB" w14:textId="77777777">
            <w:pPr>
              <w:pStyle w:val="Normal0"/>
              <w:rPr>
                <w:rFonts w:asciiTheme="minorHAnsi" w:hAnsiTheme="minorHAnsi" w:cstheme="minorHAnsi"/>
              </w:rPr>
            </w:pPr>
            <w:r w:rsidRPr="006E33E6">
              <w:rPr>
                <w:rFonts w:asciiTheme="minorHAnsi" w:hAnsiTheme="minorHAnsi" w:cstheme="minorHAnsi"/>
              </w:rPr>
              <w:t xml:space="preserve">Consumers had no confidence of stopping their data from being shared without their permission. Consumers recommended including a settings menu </w:t>
            </w:r>
            <w:proofErr w:type="gramStart"/>
            <w:r w:rsidRPr="006E33E6">
              <w:rPr>
                <w:rFonts w:asciiTheme="minorHAnsi" w:hAnsiTheme="minorHAnsi" w:cstheme="minorHAnsi"/>
              </w:rPr>
              <w:t>in order for</w:t>
            </w:r>
            <w:proofErr w:type="gramEnd"/>
            <w:r w:rsidRPr="006E33E6">
              <w:rPr>
                <w:rFonts w:asciiTheme="minorHAnsi" w:hAnsiTheme="minorHAnsi" w:cstheme="minorHAnsi"/>
              </w:rPr>
              <w:t xml:space="preserve"> them to see how their data would be shared.</w:t>
            </w:r>
          </w:p>
          <w:p w:rsidRPr="006E33E6" w:rsidR="00F74C6A" w:rsidP="00483F75" w:rsidRDefault="00F74C6A" w14:paraId="23626803" w14:textId="77777777">
            <w:pPr>
              <w:pStyle w:val="Normal0"/>
              <w:rPr>
                <w:rFonts w:asciiTheme="minorHAnsi" w:hAnsiTheme="minorHAnsi" w:cstheme="minorHAnsi"/>
              </w:rPr>
            </w:pPr>
            <w:r w:rsidRPr="006E33E6">
              <w:rPr>
                <w:rFonts w:asciiTheme="minorHAnsi" w:hAnsiTheme="minorHAnsi" w:cstheme="minorHAnsi"/>
              </w:rPr>
              <w:t>Most consumers were not confident that emailing an ADR would successfully stop their data from being shared. This is because of a history of poor data sharing and privacy enforcement in Australia with private business.</w:t>
            </w:r>
          </w:p>
          <w:p w:rsidRPr="006E33E6" w:rsidR="00F74C6A" w:rsidP="00483F75" w:rsidRDefault="00F74C6A" w14:paraId="113CF7C9" w14:textId="77777777">
            <w:pPr>
              <w:pStyle w:val="Normal0"/>
              <w:rPr>
                <w:rFonts w:asciiTheme="minorHAnsi" w:hAnsiTheme="minorHAnsi" w:cstheme="minorHAnsi"/>
              </w:rPr>
            </w:pPr>
            <w:r w:rsidRPr="006E33E6">
              <w:rPr>
                <w:rFonts w:asciiTheme="minorHAnsi" w:hAnsiTheme="minorHAnsi" w:cstheme="minorHAnsi"/>
              </w:rPr>
              <w:t>There is no clear explanation of their CDR Rights from the start, which led to confusion on multiple occasions.</w:t>
            </w:r>
          </w:p>
        </w:tc>
      </w:tr>
      <w:tr w:rsidRPr="006E33E6" w:rsidR="006E33E6" w:rsidTr="00483F75" w14:paraId="596AF1E2" w14:textId="77777777">
        <w:tc>
          <w:tcPr>
            <w:tcW w:w="2830" w:type="dxa"/>
          </w:tcPr>
          <w:p w:rsidRPr="006E33E6" w:rsidR="00F74C6A" w:rsidP="00483F75" w:rsidRDefault="00F74C6A" w14:paraId="29D0CA46" w14:textId="77777777">
            <w:pPr>
              <w:pStyle w:val="ListBullet"/>
              <w:numPr>
                <w:ilvl w:val="0"/>
                <w:numId w:val="0"/>
              </w:numPr>
              <w:rPr>
                <w:rFonts w:asciiTheme="minorHAnsi" w:hAnsiTheme="minorHAnsi" w:cstheme="minorHAnsi"/>
                <w:lang w:val="en-US"/>
              </w:rPr>
            </w:pPr>
            <w:r w:rsidRPr="006E33E6">
              <w:rPr>
                <w:rFonts w:asciiTheme="minorHAnsi" w:hAnsiTheme="minorHAnsi" w:cstheme="minorHAnsi"/>
                <w:b/>
                <w:bCs/>
              </w:rPr>
              <w:t xml:space="preserve">Recommendation: </w:t>
            </w:r>
            <w:r w:rsidRPr="006E33E6">
              <w:rPr>
                <w:rFonts w:asciiTheme="minorHAnsi" w:hAnsiTheme="minorHAnsi" w:cstheme="minorHAnsi"/>
              </w:rPr>
              <w:br/>
            </w:r>
            <w:r w:rsidRPr="006E33E6">
              <w:rPr>
                <w:rFonts w:asciiTheme="minorHAnsi" w:hAnsiTheme="minorHAnsi" w:cstheme="minorHAnsi"/>
                <w:b/>
                <w:bCs/>
              </w:rPr>
              <w:t>Provide clearer instructions</w:t>
            </w:r>
          </w:p>
          <w:p w:rsidRPr="006E33E6" w:rsidR="00F74C6A" w:rsidP="00483F75" w:rsidRDefault="00F74C6A" w14:paraId="49ECB55F" w14:textId="77777777">
            <w:pPr>
              <w:pStyle w:val="ListBullet"/>
              <w:numPr>
                <w:ilvl w:val="0"/>
                <w:numId w:val="0"/>
              </w:numPr>
              <w:rPr>
                <w:rFonts w:asciiTheme="minorHAnsi" w:hAnsiTheme="minorHAnsi" w:cstheme="minorHAnsi"/>
                <w:lang w:val="en-US"/>
              </w:rPr>
            </w:pPr>
          </w:p>
        </w:tc>
        <w:tc>
          <w:tcPr>
            <w:tcW w:w="7253" w:type="dxa"/>
          </w:tcPr>
          <w:p w:rsidRPr="006E33E6" w:rsidR="00F74C6A" w:rsidP="00483F75" w:rsidRDefault="00F74C6A" w14:paraId="18F6E477" w14:textId="77777777">
            <w:pPr>
              <w:pStyle w:val="ListBullet"/>
              <w:numPr>
                <w:ilvl w:val="0"/>
                <w:numId w:val="0"/>
              </w:numPr>
              <w:ind w:left="284"/>
              <w:rPr>
                <w:rFonts w:asciiTheme="minorHAnsi" w:hAnsiTheme="minorHAnsi" w:cstheme="minorHAnsi"/>
                <w:lang w:val="en-US"/>
              </w:rPr>
            </w:pPr>
            <w:r w:rsidRPr="006E33E6">
              <w:rPr>
                <w:rFonts w:asciiTheme="minorHAnsi" w:hAnsiTheme="minorHAnsi" w:cstheme="minorHAnsi"/>
                <w:lang w:val="en-US"/>
              </w:rPr>
              <w:t>Create transparent communication for how long data sharing requests take to action.</w:t>
            </w:r>
          </w:p>
          <w:p w:rsidRPr="006E33E6" w:rsidR="00F74C6A" w:rsidP="00483F75" w:rsidRDefault="00F74C6A" w14:paraId="52A772BC" w14:textId="77777777">
            <w:pPr>
              <w:pStyle w:val="ListBullet"/>
              <w:numPr>
                <w:ilvl w:val="0"/>
                <w:numId w:val="0"/>
              </w:numPr>
              <w:ind w:left="284"/>
              <w:rPr>
                <w:rFonts w:asciiTheme="minorHAnsi" w:hAnsiTheme="minorHAnsi" w:cstheme="minorHAnsi"/>
                <w:lang w:val="en-US"/>
              </w:rPr>
            </w:pPr>
            <w:r w:rsidRPr="006E33E6">
              <w:rPr>
                <w:rFonts w:asciiTheme="minorHAnsi" w:hAnsiTheme="minorHAnsi" w:cstheme="minorHAnsi"/>
                <w:lang w:val="en-US"/>
              </w:rPr>
              <w:t xml:space="preserve">Provide clear and straightforward information about data sharing, including: </w:t>
            </w:r>
          </w:p>
          <w:p w:rsidRPr="006E33E6" w:rsidR="00F74C6A" w:rsidP="00F74C6A" w:rsidRDefault="00F74C6A" w14:paraId="7CE97767" w14:textId="77777777">
            <w:pPr>
              <w:pStyle w:val="ListBullet"/>
              <w:numPr>
                <w:ilvl w:val="0"/>
                <w:numId w:val="14"/>
              </w:numPr>
              <w:rPr>
                <w:rFonts w:asciiTheme="minorHAnsi" w:hAnsiTheme="minorHAnsi" w:cstheme="minorHAnsi"/>
                <w:lang w:val="en-US"/>
              </w:rPr>
            </w:pPr>
            <w:r w:rsidRPr="006E33E6">
              <w:rPr>
                <w:rFonts w:asciiTheme="minorHAnsi" w:hAnsiTheme="minorHAnsi" w:cstheme="minorHAnsi"/>
                <w:lang w:val="en-US"/>
              </w:rPr>
              <w:t xml:space="preserve">what it does, </w:t>
            </w:r>
          </w:p>
          <w:p w:rsidRPr="006E33E6" w:rsidR="00F74C6A" w:rsidP="00F74C6A" w:rsidRDefault="00F74C6A" w14:paraId="239693D8" w14:textId="77777777">
            <w:pPr>
              <w:pStyle w:val="ListBullet"/>
              <w:numPr>
                <w:ilvl w:val="0"/>
                <w:numId w:val="14"/>
              </w:numPr>
              <w:rPr>
                <w:rFonts w:asciiTheme="minorHAnsi" w:hAnsiTheme="minorHAnsi" w:cstheme="minorHAnsi"/>
                <w:lang w:val="en-US"/>
              </w:rPr>
            </w:pPr>
            <w:r w:rsidRPr="006E33E6">
              <w:rPr>
                <w:rFonts w:asciiTheme="minorHAnsi" w:hAnsiTheme="minorHAnsi" w:cstheme="minorHAnsi"/>
                <w:lang w:val="en-US"/>
              </w:rPr>
              <w:t xml:space="preserve">what the consumer can do, </w:t>
            </w:r>
          </w:p>
          <w:p w:rsidRPr="006E33E6" w:rsidR="00F74C6A" w:rsidP="00F74C6A" w:rsidRDefault="00F74C6A" w14:paraId="62B28ED2" w14:textId="77777777">
            <w:pPr>
              <w:pStyle w:val="ListBullet"/>
              <w:numPr>
                <w:ilvl w:val="0"/>
                <w:numId w:val="14"/>
              </w:numPr>
              <w:rPr>
                <w:rFonts w:asciiTheme="minorHAnsi" w:hAnsiTheme="minorHAnsi" w:cstheme="minorHAnsi"/>
                <w:lang w:val="en-US"/>
              </w:rPr>
            </w:pPr>
            <w:r w:rsidRPr="006E33E6">
              <w:rPr>
                <w:rFonts w:asciiTheme="minorHAnsi" w:hAnsiTheme="minorHAnsi" w:cstheme="minorHAnsi"/>
                <w:lang w:val="en-US"/>
              </w:rPr>
              <w:t>the aim of collecting this information,</w:t>
            </w:r>
          </w:p>
          <w:p w:rsidRPr="006E33E6" w:rsidR="00F74C6A" w:rsidP="00F74C6A" w:rsidRDefault="00F74C6A" w14:paraId="771E07D2" w14:textId="77777777">
            <w:pPr>
              <w:pStyle w:val="ListBullet"/>
              <w:numPr>
                <w:ilvl w:val="0"/>
                <w:numId w:val="14"/>
              </w:numPr>
              <w:rPr>
                <w:rFonts w:asciiTheme="minorHAnsi" w:hAnsiTheme="minorHAnsi" w:cstheme="minorHAnsi"/>
                <w:lang w:val="en-US"/>
              </w:rPr>
            </w:pPr>
            <w:r w:rsidRPr="006E33E6">
              <w:rPr>
                <w:rFonts w:asciiTheme="minorHAnsi" w:hAnsiTheme="minorHAnsi" w:cstheme="minorHAnsi"/>
                <w:lang w:val="en-US"/>
              </w:rPr>
              <w:t xml:space="preserve">how sharing data can help consumers, and </w:t>
            </w:r>
          </w:p>
          <w:p w:rsidRPr="006E33E6" w:rsidR="00F74C6A" w:rsidP="00F74C6A" w:rsidRDefault="00F74C6A" w14:paraId="561EF4F4" w14:textId="77777777">
            <w:pPr>
              <w:pStyle w:val="ListBullet"/>
              <w:numPr>
                <w:ilvl w:val="0"/>
                <w:numId w:val="14"/>
              </w:numPr>
              <w:rPr>
                <w:rFonts w:asciiTheme="minorHAnsi" w:hAnsiTheme="minorHAnsi" w:cstheme="minorHAnsi"/>
                <w:lang w:val="en-US"/>
              </w:rPr>
            </w:pPr>
            <w:r w:rsidRPr="006E33E6">
              <w:rPr>
                <w:rFonts w:asciiTheme="minorHAnsi" w:hAnsiTheme="minorHAnsi" w:cstheme="minorHAnsi"/>
                <w:lang w:val="en-US"/>
              </w:rPr>
              <w:t>what will happen next with their data.</w:t>
            </w:r>
          </w:p>
          <w:p w:rsidRPr="006E33E6" w:rsidR="00F74C6A" w:rsidP="00483F75" w:rsidRDefault="00F74C6A" w14:paraId="7CA8239B" w14:textId="77777777">
            <w:pPr>
              <w:pStyle w:val="ListBullet"/>
              <w:numPr>
                <w:ilvl w:val="0"/>
                <w:numId w:val="0"/>
              </w:numPr>
              <w:ind w:left="360" w:hanging="360"/>
              <w:rPr>
                <w:rFonts w:asciiTheme="minorHAnsi" w:hAnsiTheme="minorHAnsi" w:cstheme="minorHAnsi"/>
                <w:lang w:val="en-GB"/>
              </w:rPr>
            </w:pPr>
          </w:p>
        </w:tc>
      </w:tr>
      <w:tr w:rsidRPr="006E33E6" w:rsidR="006E33E6" w:rsidTr="00483F75" w14:paraId="02D9243D" w14:textId="77777777">
        <w:tc>
          <w:tcPr>
            <w:tcW w:w="2830" w:type="dxa"/>
          </w:tcPr>
          <w:p w:rsidRPr="006E33E6" w:rsidR="00F74C6A" w:rsidP="00483F75" w:rsidRDefault="00F74C6A" w14:paraId="76CE5F9D" w14:textId="77777777">
            <w:pPr>
              <w:pStyle w:val="ListBullet"/>
              <w:numPr>
                <w:ilvl w:val="0"/>
                <w:numId w:val="0"/>
              </w:numPr>
              <w:rPr>
                <w:rFonts w:asciiTheme="minorHAnsi" w:hAnsiTheme="minorHAnsi" w:cstheme="minorHAnsi"/>
                <w:b/>
                <w:bCs/>
                <w:lang w:val="en-US"/>
              </w:rPr>
            </w:pPr>
            <w:r w:rsidRPr="006E33E6">
              <w:rPr>
                <w:rFonts w:asciiTheme="minorHAnsi" w:hAnsiTheme="minorHAnsi" w:cstheme="minorHAnsi"/>
                <w:b/>
                <w:bCs/>
                <w:lang w:val="en-US"/>
              </w:rPr>
              <w:t>Evidence and examples</w:t>
            </w:r>
          </w:p>
          <w:p w:rsidRPr="006E33E6" w:rsidR="00F74C6A" w:rsidP="00483F75" w:rsidRDefault="00F74C6A" w14:paraId="6636F52E" w14:textId="77777777">
            <w:pPr>
              <w:pStyle w:val="ListBullet"/>
              <w:numPr>
                <w:ilvl w:val="0"/>
                <w:numId w:val="0"/>
              </w:numPr>
              <w:rPr>
                <w:rFonts w:asciiTheme="minorHAnsi" w:hAnsiTheme="minorHAnsi" w:cstheme="minorHAnsi"/>
                <w:b/>
                <w:bCs/>
              </w:rPr>
            </w:pPr>
            <w:r w:rsidRPr="006E33E6">
              <w:rPr>
                <w:rFonts w:asciiTheme="minorHAnsi" w:hAnsiTheme="minorHAnsi" w:cstheme="minorHAnsi"/>
                <w:lang w:val="en-US"/>
              </w:rPr>
              <w:t>Participants had no confidence that emailing an ADR would work and requested that the app had faster ways of stopping data sharing.</w:t>
            </w:r>
          </w:p>
        </w:tc>
        <w:tc>
          <w:tcPr>
            <w:tcW w:w="7253" w:type="dxa"/>
          </w:tcPr>
          <w:p w:rsidRPr="006E33E6" w:rsidR="00F74C6A" w:rsidP="00483F75" w:rsidRDefault="00F74C6A" w14:paraId="6568DC52" w14:textId="77777777">
            <w:pPr>
              <w:pStyle w:val="PwCNormal"/>
              <w:numPr>
                <w:ilvl w:val="0"/>
                <w:numId w:val="0"/>
              </w:numPr>
              <w:spacing w:after="0"/>
              <w:rPr>
                <w:rFonts w:asciiTheme="minorHAnsi" w:hAnsiTheme="minorHAnsi" w:cstheme="minorHAnsi"/>
              </w:rPr>
            </w:pPr>
            <w:r w:rsidRPr="006E33E6">
              <w:rPr>
                <w:rFonts w:asciiTheme="minorHAnsi" w:hAnsiTheme="minorHAnsi" w:cstheme="minorHAnsi"/>
                <w:noProof/>
                <w:shd w:val="clear" w:color="auto" w:fill="E6E6E6"/>
              </w:rPr>
              <w:drawing>
                <wp:inline distT="0" distB="0" distL="0" distR="0" wp14:anchorId="3F6FE61F" wp14:editId="3DBB9F12">
                  <wp:extent cx="2264735" cy="1226822"/>
                  <wp:effectExtent l="0" t="0" r="2540" b="0"/>
                  <wp:docPr id="1351" name="Picture 1351"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Picture 1351" descr="Screen shot demonstrating issue described"/>
                          <pic:cNvPicPr/>
                        </pic:nvPicPr>
                        <pic:blipFill>
                          <a:blip r:embed="rId35">
                            <a:extLst>
                              <a:ext uri="{28A0092B-C50C-407E-A947-70E740481C1C}">
                                <a14:useLocalDpi xmlns:a14="http://schemas.microsoft.com/office/drawing/2010/main" val="0"/>
                              </a:ext>
                            </a:extLst>
                          </a:blip>
                          <a:stretch>
                            <a:fillRect/>
                          </a:stretch>
                        </pic:blipFill>
                        <pic:spPr>
                          <a:xfrm>
                            <a:off x="0" y="0"/>
                            <a:ext cx="2270245" cy="1229807"/>
                          </a:xfrm>
                          <a:prstGeom prst="rect">
                            <a:avLst/>
                          </a:prstGeom>
                        </pic:spPr>
                      </pic:pic>
                    </a:graphicData>
                  </a:graphic>
                </wp:inline>
              </w:drawing>
            </w:r>
          </w:p>
        </w:tc>
      </w:tr>
      <w:tr w:rsidRPr="006E33E6" w:rsidR="006E33E6" w:rsidTr="00483F75" w14:paraId="47ADAAE9" w14:textId="77777777">
        <w:tc>
          <w:tcPr>
            <w:tcW w:w="2830" w:type="dxa"/>
          </w:tcPr>
          <w:p w:rsidRPr="006E33E6" w:rsidR="00F74C6A" w:rsidP="00483F75" w:rsidRDefault="00F74C6A" w14:paraId="5F4FE198" w14:textId="77777777">
            <w:pPr>
              <w:pStyle w:val="ListBullet"/>
              <w:numPr>
                <w:ilvl w:val="0"/>
                <w:numId w:val="0"/>
              </w:numPr>
              <w:rPr>
                <w:rFonts w:asciiTheme="minorHAnsi" w:hAnsiTheme="minorHAnsi" w:cstheme="minorHAnsi"/>
                <w:lang w:val="en-US"/>
              </w:rPr>
            </w:pPr>
            <w:r w:rsidRPr="006E33E6">
              <w:rPr>
                <w:rFonts w:asciiTheme="minorHAnsi" w:hAnsiTheme="minorHAnsi" w:cstheme="minorHAnsi"/>
                <w:lang w:val="en-US"/>
              </w:rPr>
              <w:t xml:space="preserve">The explanation on the </w:t>
            </w:r>
            <w:hyperlink w:history="1" r:id="rId36">
              <w:r w:rsidRPr="006E33E6">
                <w:rPr>
                  <w:rFonts w:asciiTheme="minorHAnsi" w:hAnsiTheme="minorHAnsi" w:cstheme="minorHAnsi"/>
                  <w:lang w:val="en-US"/>
                </w:rPr>
                <w:t xml:space="preserve">CDR </w:t>
              </w:r>
              <w:hyperlink w:history="1" r:id="rId37">
                <w:r w:rsidRPr="006E33E6">
                  <w:rPr>
                    <w:rFonts w:asciiTheme="minorHAnsi" w:hAnsiTheme="minorHAnsi" w:cstheme="minorHAnsi"/>
                    <w:lang w:val="en-US"/>
                  </w:rPr>
                  <w:t>website</w:t>
                </w:r>
              </w:hyperlink>
            </w:hyperlink>
            <w:r w:rsidRPr="006E33E6">
              <w:rPr>
                <w:rFonts w:asciiTheme="minorHAnsi" w:hAnsiTheme="minorHAnsi" w:cstheme="minorHAnsi"/>
                <w:lang w:val="en-US"/>
              </w:rPr>
              <w:t xml:space="preserve"> was not prominent enough to make the participants want to explore it. </w:t>
            </w:r>
          </w:p>
          <w:p w:rsidRPr="006E33E6" w:rsidR="00F74C6A" w:rsidP="00483F75" w:rsidRDefault="00F74C6A" w14:paraId="168E6F39" w14:textId="77777777">
            <w:pPr>
              <w:pStyle w:val="ListBullet"/>
              <w:numPr>
                <w:ilvl w:val="0"/>
                <w:numId w:val="0"/>
              </w:numPr>
              <w:rPr>
                <w:rFonts w:asciiTheme="minorHAnsi" w:hAnsiTheme="minorHAnsi" w:cstheme="minorHAnsi"/>
                <w:lang w:val="en-US"/>
              </w:rPr>
            </w:pPr>
            <w:r w:rsidRPr="006E33E6">
              <w:rPr>
                <w:rFonts w:asciiTheme="minorHAnsi" w:hAnsiTheme="minorHAnsi" w:cstheme="minorHAnsi"/>
                <w:lang w:val="en-US"/>
              </w:rPr>
              <w:t>Consumers did not know what CDR was, caused in-part by them scanning the page but not reading the full content.</w:t>
            </w:r>
          </w:p>
        </w:tc>
        <w:tc>
          <w:tcPr>
            <w:tcW w:w="7253" w:type="dxa"/>
          </w:tcPr>
          <w:p w:rsidRPr="006E33E6" w:rsidR="00F74C6A" w:rsidP="00483F75" w:rsidRDefault="00F74C6A" w14:paraId="714D9081" w14:textId="77777777">
            <w:pPr>
              <w:pStyle w:val="PwCNormal"/>
              <w:numPr>
                <w:ilvl w:val="0"/>
                <w:numId w:val="0"/>
              </w:numPr>
              <w:spacing w:after="0"/>
              <w:rPr>
                <w:rFonts w:asciiTheme="minorHAnsi" w:hAnsiTheme="minorHAnsi" w:cstheme="minorHAnsi"/>
              </w:rPr>
            </w:pPr>
            <w:r w:rsidRPr="006E33E6">
              <w:rPr>
                <w:rFonts w:asciiTheme="minorHAnsi" w:hAnsiTheme="minorHAnsi" w:cstheme="minorHAnsi"/>
                <w:noProof/>
                <w:shd w:val="clear" w:color="auto" w:fill="E6E6E6"/>
              </w:rPr>
              <w:drawing>
                <wp:inline distT="0" distB="0" distL="0" distR="0" wp14:anchorId="0E993400" wp14:editId="5A75E258">
                  <wp:extent cx="2982005" cy="1063256"/>
                  <wp:effectExtent l="0" t="0" r="0" b="3810"/>
                  <wp:docPr id="42" name="Picture 42"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 shot demonstrating issue described"/>
                          <pic:cNvPicPr/>
                        </pic:nvPicPr>
                        <pic:blipFill>
                          <a:blip r:embed="rId38">
                            <a:extLst>
                              <a:ext uri="{28A0092B-C50C-407E-A947-70E740481C1C}">
                                <a14:useLocalDpi xmlns:a14="http://schemas.microsoft.com/office/drawing/2010/main" val="0"/>
                              </a:ext>
                            </a:extLst>
                          </a:blip>
                          <a:stretch>
                            <a:fillRect/>
                          </a:stretch>
                        </pic:blipFill>
                        <pic:spPr>
                          <a:xfrm>
                            <a:off x="0" y="0"/>
                            <a:ext cx="2991509" cy="1066645"/>
                          </a:xfrm>
                          <a:prstGeom prst="rect">
                            <a:avLst/>
                          </a:prstGeom>
                        </pic:spPr>
                      </pic:pic>
                    </a:graphicData>
                  </a:graphic>
                </wp:inline>
              </w:drawing>
            </w:r>
          </w:p>
        </w:tc>
      </w:tr>
    </w:tbl>
    <w:p w:rsidRPr="006E33E6" w:rsidR="00F74C6A" w:rsidP="00F74C6A" w:rsidRDefault="00F74C6A" w14:paraId="6C8284D5" w14:textId="77777777">
      <w:pPr>
        <w:rPr>
          <w:b/>
        </w:rPr>
      </w:pPr>
    </w:p>
    <w:p w:rsidRPr="006E33E6" w:rsidR="00F74C6A" w:rsidP="00F74C6A" w:rsidRDefault="00F74C6A" w14:paraId="662ED790" w14:textId="77777777">
      <w:pPr>
        <w:rPr>
          <w:b/>
        </w:rPr>
      </w:pPr>
    </w:p>
    <w:p w:rsidRPr="006E33E6" w:rsidR="00F74C6A" w:rsidP="00F74C6A" w:rsidRDefault="00F74C6A" w14:paraId="2E1096A4" w14:textId="77777777">
      <w:r w:rsidRPr="006E33E6">
        <w:rPr>
          <w:b/>
        </w:rPr>
        <w:br w:type="page"/>
      </w:r>
    </w:p>
    <w:tbl>
      <w:tblPr>
        <w:tblStyle w:val="Tables-APBase"/>
        <w:tblW w:w="0" w:type="auto"/>
        <w:tblLook w:val="04A0" w:firstRow="1" w:lastRow="0" w:firstColumn="1" w:lastColumn="0" w:noHBand="0" w:noVBand="1"/>
      </w:tblPr>
      <w:tblGrid>
        <w:gridCol w:w="2777"/>
        <w:gridCol w:w="7078"/>
      </w:tblGrid>
      <w:tr w:rsidRPr="006E33E6" w:rsidR="006E33E6" w:rsidTr="002C1B01" w14:paraId="56AD7BD0"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083" w:type="dxa"/>
            <w:gridSpan w:val="2"/>
            <w:shd w:val="clear" w:color="auto" w:fill="DC6900" w:themeFill="accent1"/>
          </w:tcPr>
          <w:p w:rsidRPr="006E33E6" w:rsidR="00F74C6A" w:rsidP="00483F75" w:rsidRDefault="00F74C6A" w14:paraId="4D6FD790" w14:textId="77777777">
            <w:pPr>
              <w:pStyle w:val="Tableheadings"/>
              <w:rPr>
                <w:rFonts w:asciiTheme="minorHAnsi" w:hAnsiTheme="minorHAnsi" w:cstheme="minorHAnsi"/>
                <w:bCs/>
              </w:rPr>
            </w:pPr>
            <w:r w:rsidRPr="006E33E6">
              <w:rPr>
                <w:rFonts w:asciiTheme="minorHAnsi" w:hAnsiTheme="minorHAnsi" w:cstheme="minorHAnsi"/>
              </w:rPr>
              <w:lastRenderedPageBreak/>
              <w:t>Issue theme 2: Clarity and understanding</w:t>
            </w:r>
            <w:r w:rsidRPr="006E33E6">
              <w:rPr>
                <w:rFonts w:asciiTheme="minorHAnsi" w:hAnsiTheme="minorHAnsi" w:cstheme="minorHAnsi"/>
              </w:rPr>
              <w:br/>
            </w:r>
            <w:r w:rsidRPr="006E33E6">
              <w:rPr>
                <w:rFonts w:asciiTheme="minorHAnsi" w:hAnsiTheme="minorHAnsi" w:cstheme="minorHAnsi"/>
              </w:rPr>
              <w:t>Issue 2.2: Complex language</w:t>
            </w:r>
          </w:p>
        </w:tc>
      </w:tr>
      <w:tr w:rsidRPr="006E33E6" w:rsidR="006E33E6" w:rsidTr="002C1B01" w14:paraId="3F97557E" w14:textId="77777777">
        <w:tc>
          <w:tcPr>
            <w:tcW w:w="10083" w:type="dxa"/>
            <w:gridSpan w:val="2"/>
          </w:tcPr>
          <w:p w:rsidRPr="006E33E6" w:rsidR="00F74C6A" w:rsidP="00483F75" w:rsidRDefault="00F74C6A" w14:paraId="5873C5DC" w14:textId="77777777">
            <w:pPr>
              <w:pStyle w:val="ListBullet"/>
              <w:numPr>
                <w:ilvl w:val="0"/>
                <w:numId w:val="0"/>
              </w:numPr>
              <w:rPr>
                <w:rFonts w:asciiTheme="minorHAnsi" w:hAnsiTheme="minorHAnsi" w:cstheme="minorHAnsi"/>
                <w:lang w:val="en-US"/>
              </w:rPr>
            </w:pPr>
            <w:r w:rsidRPr="006E33E6">
              <w:rPr>
                <w:rFonts w:asciiTheme="minorHAnsi" w:hAnsiTheme="minorHAnsi" w:cstheme="minorHAnsi"/>
                <w:lang w:val="en-US"/>
              </w:rPr>
              <w:t xml:space="preserve">Consumers identified multiple instances of complex, or ambiguous, language throughout the scenario. Most of the scenario was reported as being easy to understand.  </w:t>
            </w:r>
          </w:p>
          <w:p w:rsidRPr="006E33E6" w:rsidR="00F74C6A" w:rsidP="00483F75" w:rsidRDefault="00F74C6A" w14:paraId="6C7A66F4" w14:textId="77777777">
            <w:pPr>
              <w:pStyle w:val="ListBullet"/>
              <w:numPr>
                <w:ilvl w:val="0"/>
                <w:numId w:val="0"/>
              </w:numPr>
              <w:rPr>
                <w:rFonts w:asciiTheme="minorHAnsi" w:hAnsiTheme="minorHAnsi" w:cstheme="minorHAnsi"/>
                <w:lang w:val="en-US"/>
              </w:rPr>
            </w:pPr>
            <w:r w:rsidRPr="006E33E6">
              <w:rPr>
                <w:rFonts w:asciiTheme="minorHAnsi" w:hAnsiTheme="minorHAnsi" w:cstheme="minorHAnsi"/>
                <w:lang w:val="en-US"/>
              </w:rPr>
              <w:t xml:space="preserve">All consumers tested, however, were unfamiliar with the acronym ‘CDR’. One consumer suggested that it “would be clearer if [CDR] was spelled out”. </w:t>
            </w:r>
          </w:p>
          <w:p w:rsidRPr="006E33E6" w:rsidR="00F74C6A" w:rsidP="00483F75" w:rsidRDefault="00F74C6A" w14:paraId="2ECC9D45" w14:textId="77777777">
            <w:pPr>
              <w:pStyle w:val="ListBullet"/>
              <w:numPr>
                <w:ilvl w:val="0"/>
                <w:numId w:val="0"/>
              </w:numPr>
              <w:rPr>
                <w:rFonts w:asciiTheme="minorHAnsi" w:hAnsiTheme="minorHAnsi" w:cstheme="minorHAnsi"/>
              </w:rPr>
            </w:pPr>
            <w:r w:rsidRPr="006E33E6">
              <w:rPr>
                <w:rFonts w:asciiTheme="minorHAnsi" w:hAnsiTheme="minorHAnsi" w:cstheme="minorHAnsi"/>
                <w:lang w:val="en-US"/>
              </w:rPr>
              <w:t xml:space="preserve">Additionally, the following words were reported as confusing: </w:t>
            </w:r>
          </w:p>
          <w:p w:rsidRPr="006E33E6" w:rsidR="00F74C6A" w:rsidP="00F74C6A" w:rsidRDefault="00F74C6A" w14:paraId="7ABA3901" w14:textId="77777777">
            <w:pPr>
              <w:pStyle w:val="ListBullet"/>
              <w:numPr>
                <w:ilvl w:val="1"/>
                <w:numId w:val="12"/>
              </w:numPr>
              <w:tabs>
                <w:tab w:val="clear" w:pos="1440"/>
              </w:tabs>
              <w:ind w:left="873" w:hanging="426"/>
              <w:rPr>
                <w:rFonts w:asciiTheme="minorHAnsi" w:hAnsiTheme="minorHAnsi" w:cstheme="minorHAnsi"/>
              </w:rPr>
            </w:pPr>
            <w:r w:rsidRPr="006E33E6">
              <w:rPr>
                <w:rFonts w:asciiTheme="minorHAnsi" w:hAnsiTheme="minorHAnsi" w:cstheme="minorHAnsi"/>
                <w:b/>
                <w:bCs/>
                <w:lang w:val="en-US"/>
              </w:rPr>
              <w:t>Data</w:t>
            </w:r>
            <w:r w:rsidRPr="006E33E6">
              <w:rPr>
                <w:rFonts w:asciiTheme="minorHAnsi" w:hAnsiTheme="minorHAnsi" w:cstheme="minorHAnsi"/>
                <w:lang w:val="en-US"/>
              </w:rPr>
              <w:t xml:space="preserve">: </w:t>
            </w:r>
            <w:r w:rsidRPr="006E33E6">
              <w:rPr>
                <w:rFonts w:asciiTheme="minorHAnsi" w:hAnsiTheme="minorHAnsi" w:cstheme="minorHAnsi"/>
                <w:i/>
                <w:iCs/>
                <w:lang w:val="en-US"/>
              </w:rPr>
              <w:t xml:space="preserve">“… </w:t>
            </w:r>
            <w:r w:rsidRPr="006E33E6">
              <w:rPr>
                <w:rFonts w:asciiTheme="minorHAnsi" w:hAnsiTheme="minorHAnsi" w:cstheme="minorHAnsi"/>
                <w:i/>
                <w:iCs/>
              </w:rPr>
              <w:t xml:space="preserve">need other terminology, </w:t>
            </w:r>
            <w:r w:rsidRPr="006E33E6">
              <w:rPr>
                <w:rFonts w:asciiTheme="minorHAnsi" w:hAnsiTheme="minorHAnsi" w:cstheme="minorHAnsi"/>
                <w:b/>
                <w:bCs/>
                <w:i/>
                <w:iCs/>
              </w:rPr>
              <w:t>data</w:t>
            </w:r>
            <w:r w:rsidRPr="006E33E6">
              <w:rPr>
                <w:rFonts w:asciiTheme="minorHAnsi" w:hAnsiTheme="minorHAnsi" w:cstheme="minorHAnsi"/>
                <w:i/>
                <w:iCs/>
              </w:rPr>
              <w:t xml:space="preserve"> can mean different things of not everyone knows exactly what it means.” </w:t>
            </w:r>
            <w:r w:rsidRPr="006E33E6">
              <w:rPr>
                <w:rFonts w:asciiTheme="minorHAnsi" w:hAnsiTheme="minorHAnsi" w:cstheme="minorHAnsi"/>
                <w:i/>
                <w:iCs/>
              </w:rPr>
              <w:br/>
            </w:r>
            <w:r w:rsidRPr="006E33E6">
              <w:rPr>
                <w:rFonts w:asciiTheme="minorHAnsi" w:hAnsiTheme="minorHAnsi" w:cstheme="minorHAnsi"/>
                <w:i/>
                <w:iCs/>
              </w:rPr>
              <w:t xml:space="preserve">– </w:t>
            </w:r>
            <w:r w:rsidRPr="006E33E6">
              <w:rPr>
                <w:rFonts w:asciiTheme="minorHAnsi" w:hAnsiTheme="minorHAnsi" w:cstheme="minorHAnsi"/>
              </w:rPr>
              <w:t>Cognitive/physical mobility disability consumer.</w:t>
            </w:r>
          </w:p>
          <w:p w:rsidRPr="006E33E6" w:rsidR="00F74C6A" w:rsidP="00F74C6A" w:rsidRDefault="00F74C6A" w14:paraId="5529CC81" w14:textId="77777777">
            <w:pPr>
              <w:pStyle w:val="ListBullet"/>
              <w:numPr>
                <w:ilvl w:val="1"/>
                <w:numId w:val="12"/>
              </w:numPr>
              <w:tabs>
                <w:tab w:val="clear" w:pos="1440"/>
              </w:tabs>
              <w:ind w:left="873" w:hanging="426"/>
              <w:rPr>
                <w:rFonts w:asciiTheme="minorHAnsi" w:hAnsiTheme="minorHAnsi" w:cstheme="minorHAnsi"/>
              </w:rPr>
            </w:pPr>
            <w:r w:rsidRPr="006E33E6">
              <w:rPr>
                <w:rFonts w:asciiTheme="minorHAnsi" w:hAnsiTheme="minorHAnsi" w:cstheme="minorHAnsi"/>
                <w:b/>
                <w:bCs/>
              </w:rPr>
              <w:t>Prepopulate</w:t>
            </w:r>
            <w:r w:rsidRPr="006E33E6">
              <w:rPr>
                <w:rFonts w:asciiTheme="minorHAnsi" w:hAnsiTheme="minorHAnsi" w:cstheme="minorHAnsi"/>
              </w:rPr>
              <w:t xml:space="preserve">: </w:t>
            </w:r>
            <w:r w:rsidRPr="006E33E6">
              <w:rPr>
                <w:rFonts w:asciiTheme="minorHAnsi" w:hAnsiTheme="minorHAnsi" w:cstheme="minorHAnsi"/>
                <w:i/>
                <w:iCs/>
              </w:rPr>
              <w:t xml:space="preserve">“… just use </w:t>
            </w:r>
            <w:r w:rsidRPr="006E33E6">
              <w:rPr>
                <w:rFonts w:asciiTheme="minorHAnsi" w:hAnsiTheme="minorHAnsi" w:cstheme="minorHAnsi"/>
                <w:b/>
                <w:bCs/>
                <w:i/>
                <w:iCs/>
              </w:rPr>
              <w:t>prefill</w:t>
            </w:r>
            <w:r w:rsidRPr="006E33E6">
              <w:rPr>
                <w:rFonts w:asciiTheme="minorHAnsi" w:hAnsiTheme="minorHAnsi" w:cstheme="minorHAnsi"/>
                <w:i/>
                <w:iCs/>
              </w:rPr>
              <w:t xml:space="preserve">!” </w:t>
            </w:r>
            <w:r w:rsidRPr="006E33E6">
              <w:rPr>
                <w:rFonts w:asciiTheme="minorHAnsi" w:hAnsiTheme="minorHAnsi" w:cstheme="minorHAnsi"/>
                <w:i/>
                <w:iCs/>
              </w:rPr>
              <w:br/>
            </w:r>
            <w:r w:rsidRPr="006E33E6">
              <w:rPr>
                <w:rFonts w:asciiTheme="minorHAnsi" w:hAnsiTheme="minorHAnsi" w:cstheme="minorHAnsi"/>
                <w:i/>
                <w:iCs/>
              </w:rPr>
              <w:t xml:space="preserve">– </w:t>
            </w:r>
            <w:r w:rsidRPr="006E33E6">
              <w:rPr>
                <w:rFonts w:asciiTheme="minorHAnsi" w:hAnsiTheme="minorHAnsi" w:cstheme="minorHAnsi"/>
              </w:rPr>
              <w:t>Physical mobility disability consumer.</w:t>
            </w:r>
          </w:p>
        </w:tc>
      </w:tr>
      <w:tr w:rsidRPr="006E33E6" w:rsidR="006E33E6" w:rsidTr="002C1B01" w14:paraId="34DFDCCA" w14:textId="77777777">
        <w:tc>
          <w:tcPr>
            <w:tcW w:w="2830" w:type="dxa"/>
          </w:tcPr>
          <w:p w:rsidRPr="006E33E6" w:rsidR="00F74C6A" w:rsidP="00483F75" w:rsidRDefault="00F74C6A" w14:paraId="2BB79A71" w14:textId="77777777">
            <w:pPr>
              <w:pStyle w:val="ListBullet"/>
              <w:numPr>
                <w:ilvl w:val="0"/>
                <w:numId w:val="0"/>
              </w:numPr>
              <w:rPr>
                <w:rFonts w:asciiTheme="minorHAnsi" w:hAnsiTheme="minorHAnsi" w:cstheme="minorHAnsi"/>
                <w:lang w:val="en-US"/>
              </w:rPr>
            </w:pPr>
            <w:r w:rsidRPr="006E33E6">
              <w:rPr>
                <w:rFonts w:asciiTheme="minorHAnsi" w:hAnsiTheme="minorHAnsi" w:cstheme="minorHAnsi"/>
                <w:b/>
                <w:bCs/>
              </w:rPr>
              <w:t xml:space="preserve">Recommendation: </w:t>
            </w:r>
            <w:r w:rsidRPr="006E33E6">
              <w:rPr>
                <w:rFonts w:asciiTheme="minorHAnsi" w:hAnsiTheme="minorHAnsi" w:cstheme="minorHAnsi"/>
              </w:rPr>
              <w:br/>
            </w:r>
            <w:r w:rsidRPr="006E33E6">
              <w:rPr>
                <w:rFonts w:asciiTheme="minorHAnsi" w:hAnsiTheme="minorHAnsi" w:cstheme="minorHAnsi"/>
                <w:b/>
                <w:bCs/>
              </w:rPr>
              <w:t>Simplify language</w:t>
            </w:r>
          </w:p>
          <w:p w:rsidRPr="006E33E6" w:rsidR="00F74C6A" w:rsidP="00483F75" w:rsidRDefault="00F74C6A" w14:paraId="3DACA875" w14:textId="77777777">
            <w:pPr>
              <w:pStyle w:val="ListBullet"/>
              <w:numPr>
                <w:ilvl w:val="0"/>
                <w:numId w:val="0"/>
              </w:numPr>
              <w:rPr>
                <w:rFonts w:asciiTheme="minorHAnsi" w:hAnsiTheme="minorHAnsi" w:cstheme="minorHAnsi"/>
                <w:lang w:val="en-US"/>
              </w:rPr>
            </w:pPr>
          </w:p>
        </w:tc>
        <w:tc>
          <w:tcPr>
            <w:tcW w:w="7253" w:type="dxa"/>
          </w:tcPr>
          <w:p w:rsidRPr="006E33E6" w:rsidR="00F74C6A" w:rsidP="00483F75" w:rsidRDefault="00F74C6A" w14:paraId="23C76E51" w14:textId="77777777">
            <w:pPr>
              <w:pStyle w:val="PwCNormal"/>
              <w:numPr>
                <w:ilvl w:val="0"/>
                <w:numId w:val="0"/>
              </w:numPr>
              <w:rPr>
                <w:rFonts w:asciiTheme="minorHAnsi" w:hAnsiTheme="minorHAnsi" w:cstheme="minorHAnsi"/>
              </w:rPr>
            </w:pPr>
            <w:r w:rsidRPr="006E33E6">
              <w:rPr>
                <w:rFonts w:asciiTheme="minorHAnsi" w:hAnsiTheme="minorHAnsi" w:cstheme="minorHAnsi"/>
              </w:rPr>
              <w:t>Use simple language and sentence structures with icons and visuals, avoid using jargon or provide definitions and avoid long paragraphs.</w:t>
            </w:r>
          </w:p>
        </w:tc>
      </w:tr>
      <w:tr w:rsidRPr="006E33E6" w:rsidR="006E33E6" w:rsidTr="002C1B01" w14:paraId="0C0DE285" w14:textId="77777777">
        <w:tc>
          <w:tcPr>
            <w:tcW w:w="2830" w:type="dxa"/>
          </w:tcPr>
          <w:p w:rsidRPr="006E33E6" w:rsidR="00F74C6A" w:rsidP="00483F75" w:rsidRDefault="00F74C6A" w14:paraId="0B25F02D" w14:textId="77777777">
            <w:pPr>
              <w:pStyle w:val="ListBullet"/>
              <w:numPr>
                <w:ilvl w:val="0"/>
                <w:numId w:val="0"/>
              </w:numPr>
              <w:rPr>
                <w:rFonts w:asciiTheme="minorHAnsi" w:hAnsiTheme="minorHAnsi" w:cstheme="minorHAnsi"/>
                <w:b/>
                <w:bCs/>
                <w:lang w:val="en-US"/>
              </w:rPr>
            </w:pPr>
            <w:r w:rsidRPr="006E33E6">
              <w:rPr>
                <w:rFonts w:asciiTheme="minorHAnsi" w:hAnsiTheme="minorHAnsi" w:cstheme="minorHAnsi"/>
                <w:b/>
                <w:bCs/>
                <w:lang w:val="en-US"/>
              </w:rPr>
              <w:t>Evidence and examples</w:t>
            </w:r>
          </w:p>
          <w:p w:rsidRPr="006E33E6" w:rsidR="00F74C6A" w:rsidP="00483F75" w:rsidRDefault="00F74C6A" w14:paraId="497BAA11" w14:textId="77777777">
            <w:pPr>
              <w:pStyle w:val="ListBullet"/>
              <w:numPr>
                <w:ilvl w:val="0"/>
                <w:numId w:val="0"/>
              </w:numPr>
              <w:rPr>
                <w:rFonts w:asciiTheme="minorHAnsi" w:hAnsiTheme="minorHAnsi" w:cstheme="minorHAnsi"/>
                <w:b/>
                <w:bCs/>
              </w:rPr>
            </w:pPr>
            <w:r w:rsidRPr="006E33E6">
              <w:rPr>
                <w:rFonts w:asciiTheme="minorHAnsi" w:hAnsiTheme="minorHAnsi" w:cstheme="minorHAnsi"/>
                <w:lang w:val="en-US"/>
              </w:rPr>
              <w:t>The word “data” is ambiguous to consumers as it can have multiple meanings.</w:t>
            </w:r>
          </w:p>
        </w:tc>
        <w:tc>
          <w:tcPr>
            <w:tcW w:w="7253" w:type="dxa"/>
          </w:tcPr>
          <w:p w:rsidRPr="006E33E6" w:rsidR="00F74C6A" w:rsidP="00483F75" w:rsidRDefault="00F74C6A" w14:paraId="28381F1A" w14:textId="77777777">
            <w:pPr>
              <w:pStyle w:val="PwCNormal"/>
              <w:numPr>
                <w:ilvl w:val="0"/>
                <w:numId w:val="0"/>
              </w:numPr>
              <w:spacing w:after="0"/>
              <w:rPr>
                <w:rFonts w:asciiTheme="minorHAnsi" w:hAnsiTheme="minorHAnsi" w:cstheme="minorHAnsi"/>
              </w:rPr>
            </w:pPr>
            <w:r w:rsidRPr="006E33E6">
              <w:rPr>
                <w:rFonts w:asciiTheme="minorHAnsi" w:hAnsiTheme="minorHAnsi" w:cstheme="minorHAnsi"/>
                <w:noProof/>
                <w:shd w:val="clear" w:color="auto" w:fill="E6E6E6"/>
              </w:rPr>
              <w:drawing>
                <wp:inline distT="0" distB="0" distL="0" distR="0" wp14:anchorId="30326707" wp14:editId="7D261074">
                  <wp:extent cx="2633980" cy="1213485"/>
                  <wp:effectExtent l="0" t="0" r="0" b="5715"/>
                  <wp:docPr id="44" name="Picture 44"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 shot demonstrating issue described"/>
                          <pic:cNvPicPr/>
                        </pic:nvPicPr>
                        <pic:blipFill>
                          <a:blip r:embed="rId39">
                            <a:extLst>
                              <a:ext uri="{28A0092B-C50C-407E-A947-70E740481C1C}">
                                <a14:useLocalDpi xmlns:a14="http://schemas.microsoft.com/office/drawing/2010/main" val="0"/>
                              </a:ext>
                            </a:extLst>
                          </a:blip>
                          <a:stretch>
                            <a:fillRect/>
                          </a:stretch>
                        </pic:blipFill>
                        <pic:spPr>
                          <a:xfrm>
                            <a:off x="0" y="0"/>
                            <a:ext cx="2633980" cy="1213485"/>
                          </a:xfrm>
                          <a:prstGeom prst="rect">
                            <a:avLst/>
                          </a:prstGeom>
                        </pic:spPr>
                      </pic:pic>
                    </a:graphicData>
                  </a:graphic>
                </wp:inline>
              </w:drawing>
            </w:r>
          </w:p>
        </w:tc>
      </w:tr>
      <w:tr w:rsidRPr="006E33E6" w:rsidR="006E33E6" w:rsidTr="002C1B01" w14:paraId="65EAD6D7" w14:textId="77777777">
        <w:tc>
          <w:tcPr>
            <w:tcW w:w="2830" w:type="dxa"/>
          </w:tcPr>
          <w:p w:rsidRPr="006E33E6" w:rsidR="00F74C6A" w:rsidP="00483F75" w:rsidRDefault="00F74C6A" w14:paraId="0BB7B307" w14:textId="77777777">
            <w:pPr>
              <w:pStyle w:val="PwCNormal"/>
              <w:numPr>
                <w:ilvl w:val="0"/>
                <w:numId w:val="0"/>
              </w:numPr>
              <w:rPr>
                <w:rFonts w:asciiTheme="minorHAnsi" w:hAnsiTheme="minorHAnsi" w:cstheme="minorHAnsi"/>
              </w:rPr>
            </w:pPr>
            <w:r w:rsidRPr="006E33E6">
              <w:rPr>
                <w:rFonts w:asciiTheme="minorHAnsi" w:hAnsiTheme="minorHAnsi" w:cstheme="minorHAnsi"/>
                <w:lang w:val="en-US"/>
              </w:rPr>
              <w:t>“Prepopulate” is seen as a complex word by participants.</w:t>
            </w:r>
          </w:p>
          <w:p w:rsidRPr="006E33E6" w:rsidR="00F74C6A" w:rsidP="00483F75" w:rsidRDefault="00F74C6A" w14:paraId="215BDB8D" w14:textId="77777777">
            <w:pPr>
              <w:pStyle w:val="ListBullet"/>
              <w:numPr>
                <w:ilvl w:val="0"/>
                <w:numId w:val="0"/>
              </w:numPr>
              <w:rPr>
                <w:rFonts w:asciiTheme="minorHAnsi" w:hAnsiTheme="minorHAnsi" w:cstheme="minorHAnsi"/>
                <w:b/>
                <w:bCs/>
                <w:lang w:val="en-US"/>
              </w:rPr>
            </w:pPr>
          </w:p>
        </w:tc>
        <w:tc>
          <w:tcPr>
            <w:tcW w:w="7253" w:type="dxa"/>
          </w:tcPr>
          <w:p w:rsidRPr="006E33E6" w:rsidR="00F74C6A" w:rsidP="00483F75" w:rsidRDefault="00F74C6A" w14:paraId="5C02790D" w14:textId="77777777">
            <w:pPr>
              <w:pStyle w:val="PwCNormal"/>
              <w:numPr>
                <w:ilvl w:val="0"/>
                <w:numId w:val="0"/>
              </w:numPr>
              <w:spacing w:after="0"/>
              <w:rPr>
                <w:rFonts w:asciiTheme="minorHAnsi" w:hAnsiTheme="minorHAnsi" w:cstheme="minorHAnsi"/>
              </w:rPr>
            </w:pPr>
            <w:r w:rsidRPr="006E33E6">
              <w:rPr>
                <w:rFonts w:asciiTheme="minorHAnsi" w:hAnsiTheme="minorHAnsi" w:cstheme="minorHAnsi"/>
                <w:noProof/>
                <w:shd w:val="clear" w:color="auto" w:fill="E6E6E6"/>
              </w:rPr>
              <w:drawing>
                <wp:inline distT="0" distB="0" distL="0" distR="0" wp14:anchorId="626356E1" wp14:editId="45312267">
                  <wp:extent cx="2633980" cy="646430"/>
                  <wp:effectExtent l="0" t="0" r="0" b="1270"/>
                  <wp:docPr id="1352" name="Picture 1352"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Picture 1352" descr="Screen shot demonstrating issue described"/>
                          <pic:cNvPicPr/>
                        </pic:nvPicPr>
                        <pic:blipFill>
                          <a:blip r:embed="rId40">
                            <a:extLst>
                              <a:ext uri="{28A0092B-C50C-407E-A947-70E740481C1C}">
                                <a14:useLocalDpi xmlns:a14="http://schemas.microsoft.com/office/drawing/2010/main" val="0"/>
                              </a:ext>
                            </a:extLst>
                          </a:blip>
                          <a:stretch>
                            <a:fillRect/>
                          </a:stretch>
                        </pic:blipFill>
                        <pic:spPr>
                          <a:xfrm>
                            <a:off x="0" y="0"/>
                            <a:ext cx="2633980" cy="646430"/>
                          </a:xfrm>
                          <a:prstGeom prst="rect">
                            <a:avLst/>
                          </a:prstGeom>
                        </pic:spPr>
                      </pic:pic>
                    </a:graphicData>
                  </a:graphic>
                </wp:inline>
              </w:drawing>
            </w:r>
          </w:p>
        </w:tc>
      </w:tr>
      <w:tr w:rsidRPr="006E33E6" w:rsidR="006E33E6" w:rsidTr="002C1B01" w14:paraId="1D4F11EE" w14:textId="77777777">
        <w:tc>
          <w:tcPr>
            <w:tcW w:w="2830" w:type="dxa"/>
          </w:tcPr>
          <w:p w:rsidRPr="006E33E6" w:rsidR="00F74C6A" w:rsidP="00483F75" w:rsidRDefault="00F74C6A" w14:paraId="7D40DE41" w14:textId="77777777">
            <w:pPr>
              <w:pStyle w:val="PwCNormal"/>
              <w:numPr>
                <w:ilvl w:val="0"/>
                <w:numId w:val="0"/>
              </w:numPr>
              <w:rPr>
                <w:rFonts w:asciiTheme="minorHAnsi" w:hAnsiTheme="minorHAnsi" w:cstheme="minorHAnsi"/>
              </w:rPr>
            </w:pPr>
            <w:r w:rsidRPr="006E33E6">
              <w:rPr>
                <w:rFonts w:asciiTheme="minorHAnsi" w:hAnsiTheme="minorHAnsi" w:cstheme="minorHAnsi"/>
                <w:lang w:val="en-US"/>
              </w:rPr>
              <w:t>The CDR acronym is not common and caused confusion to consumers.</w:t>
            </w:r>
          </w:p>
          <w:p w:rsidRPr="006E33E6" w:rsidR="00F74C6A" w:rsidP="00483F75" w:rsidRDefault="00F74C6A" w14:paraId="3C9B4FE3" w14:textId="77777777">
            <w:pPr>
              <w:pStyle w:val="ListBullet"/>
              <w:numPr>
                <w:ilvl w:val="0"/>
                <w:numId w:val="0"/>
              </w:numPr>
              <w:rPr>
                <w:rFonts w:asciiTheme="minorHAnsi" w:hAnsiTheme="minorHAnsi" w:cstheme="minorHAnsi"/>
                <w:b/>
                <w:bCs/>
                <w:lang w:val="en-US"/>
              </w:rPr>
            </w:pPr>
          </w:p>
        </w:tc>
        <w:tc>
          <w:tcPr>
            <w:tcW w:w="7253" w:type="dxa"/>
          </w:tcPr>
          <w:p w:rsidRPr="006E33E6" w:rsidR="00F74C6A" w:rsidP="00483F75" w:rsidRDefault="00F74C6A" w14:paraId="2D547D13" w14:textId="77777777">
            <w:pPr>
              <w:pStyle w:val="PwCNormal"/>
              <w:numPr>
                <w:ilvl w:val="0"/>
                <w:numId w:val="0"/>
              </w:numPr>
              <w:spacing w:after="0"/>
              <w:rPr>
                <w:rFonts w:asciiTheme="minorHAnsi" w:hAnsiTheme="minorHAnsi" w:cstheme="minorHAnsi"/>
              </w:rPr>
            </w:pPr>
            <w:r w:rsidRPr="006E33E6">
              <w:rPr>
                <w:rFonts w:asciiTheme="minorHAnsi" w:hAnsiTheme="minorHAnsi" w:cstheme="minorHAnsi"/>
                <w:noProof/>
                <w:shd w:val="clear" w:color="auto" w:fill="E6E6E6"/>
              </w:rPr>
              <w:drawing>
                <wp:inline distT="0" distB="0" distL="0" distR="0" wp14:anchorId="293202D9" wp14:editId="2161EFD0">
                  <wp:extent cx="2633980" cy="762000"/>
                  <wp:effectExtent l="0" t="0" r="0" b="0"/>
                  <wp:docPr id="1353" name="Picture 1353"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Picture 1353" descr="Screen shot demonstrating issue described"/>
                          <pic:cNvPicPr/>
                        </pic:nvPicPr>
                        <pic:blipFill>
                          <a:blip r:embed="rId41">
                            <a:extLst>
                              <a:ext uri="{28A0092B-C50C-407E-A947-70E740481C1C}">
                                <a14:useLocalDpi xmlns:a14="http://schemas.microsoft.com/office/drawing/2010/main" val="0"/>
                              </a:ext>
                            </a:extLst>
                          </a:blip>
                          <a:stretch>
                            <a:fillRect/>
                          </a:stretch>
                        </pic:blipFill>
                        <pic:spPr>
                          <a:xfrm>
                            <a:off x="0" y="0"/>
                            <a:ext cx="2633980" cy="762000"/>
                          </a:xfrm>
                          <a:prstGeom prst="rect">
                            <a:avLst/>
                          </a:prstGeom>
                        </pic:spPr>
                      </pic:pic>
                    </a:graphicData>
                  </a:graphic>
                </wp:inline>
              </w:drawing>
            </w:r>
          </w:p>
        </w:tc>
      </w:tr>
    </w:tbl>
    <w:p w:rsidRPr="006E33E6" w:rsidR="00F74C6A" w:rsidP="00F74C6A" w:rsidRDefault="00F74C6A" w14:paraId="7D6F8AA2" w14:textId="77777777">
      <w:pPr>
        <w:rPr>
          <w:b/>
        </w:rPr>
      </w:pPr>
    </w:p>
    <w:p w:rsidRPr="006E33E6" w:rsidR="00F74C6A" w:rsidP="00F74C6A" w:rsidRDefault="00F74C6A" w14:paraId="3B266B61" w14:textId="77777777">
      <w:pPr>
        <w:rPr>
          <w:b/>
        </w:rPr>
      </w:pPr>
    </w:p>
    <w:p w:rsidRPr="006E33E6" w:rsidR="00F74C6A" w:rsidP="00F74C6A" w:rsidRDefault="00F74C6A" w14:paraId="4BF22BE6" w14:textId="77777777">
      <w:r w:rsidRPr="006E33E6">
        <w:rPr>
          <w:b/>
        </w:rPr>
        <w:br w:type="page"/>
      </w:r>
    </w:p>
    <w:tbl>
      <w:tblPr>
        <w:tblStyle w:val="Tables-APBase"/>
        <w:tblW w:w="0" w:type="auto"/>
        <w:tblLook w:val="04A0" w:firstRow="1" w:lastRow="0" w:firstColumn="1" w:lastColumn="0" w:noHBand="0" w:noVBand="1"/>
      </w:tblPr>
      <w:tblGrid>
        <w:gridCol w:w="2795"/>
        <w:gridCol w:w="7060"/>
      </w:tblGrid>
      <w:tr w:rsidRPr="006E33E6" w:rsidR="006E33E6" w:rsidTr="00483F75" w14:paraId="0154C2F2"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083" w:type="dxa"/>
            <w:gridSpan w:val="2"/>
            <w:shd w:val="clear" w:color="auto" w:fill="DC6900" w:themeFill="accent1"/>
          </w:tcPr>
          <w:p w:rsidRPr="006E33E6" w:rsidR="00F74C6A" w:rsidP="00483F75" w:rsidRDefault="00F74C6A" w14:paraId="248AF138" w14:textId="77777777">
            <w:pPr>
              <w:pStyle w:val="Tableheadings"/>
              <w:rPr>
                <w:rFonts w:asciiTheme="minorHAnsi" w:hAnsiTheme="minorHAnsi" w:cstheme="minorHAnsi"/>
                <w:bCs/>
              </w:rPr>
            </w:pPr>
            <w:r w:rsidRPr="006E33E6">
              <w:rPr>
                <w:rFonts w:asciiTheme="minorHAnsi" w:hAnsiTheme="minorHAnsi" w:cstheme="minorHAnsi"/>
              </w:rPr>
              <w:lastRenderedPageBreak/>
              <w:t>Issue theme 2: Clarity and understanding</w:t>
            </w:r>
            <w:r w:rsidRPr="006E33E6">
              <w:rPr>
                <w:rFonts w:asciiTheme="minorHAnsi" w:hAnsiTheme="minorHAnsi" w:cstheme="minorHAnsi"/>
              </w:rPr>
              <w:br/>
            </w:r>
            <w:r w:rsidRPr="006E33E6">
              <w:rPr>
                <w:rFonts w:asciiTheme="minorHAnsi" w:hAnsiTheme="minorHAnsi" w:cstheme="minorHAnsi"/>
              </w:rPr>
              <w:t>Issue 2.3: Unclear content</w:t>
            </w:r>
          </w:p>
        </w:tc>
      </w:tr>
      <w:tr w:rsidRPr="006E33E6" w:rsidR="006E33E6" w:rsidTr="00483F75" w14:paraId="624ACAA0" w14:textId="77777777">
        <w:tc>
          <w:tcPr>
            <w:tcW w:w="10083" w:type="dxa"/>
            <w:gridSpan w:val="2"/>
          </w:tcPr>
          <w:p w:rsidRPr="006E33E6" w:rsidR="00F74C6A" w:rsidP="00483F75" w:rsidRDefault="00F74C6A" w14:paraId="2BC769F9" w14:textId="77777777">
            <w:pPr>
              <w:pStyle w:val="Normal0"/>
              <w:rPr>
                <w:rFonts w:asciiTheme="minorHAnsi" w:hAnsiTheme="minorHAnsi" w:cstheme="minorHAnsi"/>
              </w:rPr>
            </w:pPr>
            <w:r w:rsidRPr="006E33E6">
              <w:rPr>
                <w:rFonts w:asciiTheme="minorHAnsi" w:hAnsiTheme="minorHAnsi" w:cstheme="minorHAnsi"/>
              </w:rPr>
              <w:t xml:space="preserve">Consumers would often scan the content instead of reading it word-by-word, and this was more prevalent with complex information. This scanning can be alleviated with imagery to complement the text. </w:t>
            </w:r>
          </w:p>
          <w:p w:rsidRPr="006E33E6" w:rsidR="00F74C6A" w:rsidP="00483F75" w:rsidRDefault="00F74C6A" w14:paraId="1C3947CF" w14:textId="77777777">
            <w:pPr>
              <w:pStyle w:val="Normal0"/>
              <w:rPr>
                <w:rFonts w:asciiTheme="minorHAnsi" w:hAnsiTheme="minorHAnsi" w:cstheme="minorHAnsi"/>
              </w:rPr>
            </w:pPr>
            <w:r w:rsidRPr="006E33E6">
              <w:rPr>
                <w:rFonts w:asciiTheme="minorHAnsi" w:hAnsiTheme="minorHAnsi" w:cstheme="minorHAnsi"/>
              </w:rPr>
              <w:t xml:space="preserve">Consumers commented that the illustrations were not appropriate for a banking tool. This led consumers to not value the images used in most of the prototype. </w:t>
            </w:r>
          </w:p>
          <w:p w:rsidRPr="006E33E6" w:rsidR="00F74C6A" w:rsidP="00483F75" w:rsidRDefault="00F74C6A" w14:paraId="5C8480B7" w14:textId="77777777">
            <w:pPr>
              <w:pStyle w:val="Normal0"/>
              <w:rPr>
                <w:rFonts w:asciiTheme="minorHAnsi" w:hAnsiTheme="minorHAnsi" w:cstheme="minorHAnsi"/>
              </w:rPr>
            </w:pPr>
            <w:r w:rsidRPr="006E33E6">
              <w:rPr>
                <w:rFonts w:asciiTheme="minorHAnsi" w:hAnsiTheme="minorHAnsi" w:cstheme="minorHAnsi"/>
              </w:rPr>
              <w:t>This also resulted in consumers ignoring the images, leading to poor consumer comprehension.</w:t>
            </w:r>
          </w:p>
        </w:tc>
      </w:tr>
      <w:tr w:rsidRPr="006E33E6" w:rsidR="006E33E6" w:rsidTr="00483F75" w14:paraId="2EF063CF" w14:textId="77777777">
        <w:tc>
          <w:tcPr>
            <w:tcW w:w="2830" w:type="dxa"/>
          </w:tcPr>
          <w:p w:rsidRPr="006E33E6" w:rsidR="00F74C6A" w:rsidP="00483F75" w:rsidRDefault="00F74C6A" w14:paraId="6A4C520F" w14:textId="77777777">
            <w:pPr>
              <w:pStyle w:val="ListBullet"/>
              <w:numPr>
                <w:ilvl w:val="0"/>
                <w:numId w:val="0"/>
              </w:numPr>
              <w:rPr>
                <w:rFonts w:asciiTheme="minorHAnsi" w:hAnsiTheme="minorHAnsi" w:cstheme="minorHAnsi"/>
                <w:lang w:val="en-US"/>
              </w:rPr>
            </w:pPr>
            <w:r w:rsidRPr="006E33E6">
              <w:rPr>
                <w:rFonts w:asciiTheme="minorHAnsi" w:hAnsiTheme="minorHAnsi" w:cstheme="minorHAnsi"/>
                <w:b/>
                <w:bCs/>
              </w:rPr>
              <w:t xml:space="preserve">Recommendation: </w:t>
            </w:r>
            <w:r w:rsidRPr="006E33E6">
              <w:rPr>
                <w:rFonts w:asciiTheme="minorHAnsi" w:hAnsiTheme="minorHAnsi" w:cstheme="minorHAnsi"/>
              </w:rPr>
              <w:br/>
            </w:r>
            <w:r w:rsidRPr="006E33E6">
              <w:rPr>
                <w:rFonts w:asciiTheme="minorHAnsi" w:hAnsiTheme="minorHAnsi" w:cstheme="minorHAnsi"/>
                <w:b/>
                <w:lang w:val="en-US"/>
              </w:rPr>
              <w:t>Clarify content through effective use of imagery</w:t>
            </w:r>
          </w:p>
        </w:tc>
        <w:tc>
          <w:tcPr>
            <w:tcW w:w="7253" w:type="dxa"/>
          </w:tcPr>
          <w:p w:rsidRPr="006E33E6" w:rsidR="00F74C6A" w:rsidP="00483F75" w:rsidRDefault="00F74C6A" w14:paraId="0CF505E9" w14:textId="77777777">
            <w:pPr>
              <w:pStyle w:val="ListBullet"/>
              <w:numPr>
                <w:ilvl w:val="0"/>
                <w:numId w:val="0"/>
              </w:numPr>
              <w:rPr>
                <w:rFonts w:asciiTheme="minorHAnsi" w:hAnsiTheme="minorHAnsi" w:cstheme="minorHAnsi"/>
              </w:rPr>
            </w:pPr>
            <w:r w:rsidRPr="006E33E6">
              <w:rPr>
                <w:rFonts w:asciiTheme="minorHAnsi" w:hAnsiTheme="minorHAnsi" w:cstheme="minorHAnsi"/>
                <w:lang w:val="en-US"/>
              </w:rPr>
              <w:t>Use images that add value to the content and use images/ infographics to help explain more difficult or complicated parts of the process.</w:t>
            </w:r>
          </w:p>
        </w:tc>
      </w:tr>
      <w:tr w:rsidRPr="006E33E6" w:rsidR="006E33E6" w:rsidTr="00483F75" w14:paraId="7174BAF2" w14:textId="77777777">
        <w:tc>
          <w:tcPr>
            <w:tcW w:w="2830" w:type="dxa"/>
          </w:tcPr>
          <w:p w:rsidRPr="006E33E6" w:rsidR="00F74C6A" w:rsidP="00483F75" w:rsidRDefault="00F74C6A" w14:paraId="5731BD76" w14:textId="77777777">
            <w:pPr>
              <w:pStyle w:val="ListBullet"/>
              <w:numPr>
                <w:ilvl w:val="0"/>
                <w:numId w:val="0"/>
              </w:numPr>
              <w:rPr>
                <w:rFonts w:asciiTheme="minorHAnsi" w:hAnsiTheme="minorHAnsi" w:cstheme="minorHAnsi"/>
                <w:b/>
                <w:bCs/>
                <w:lang w:val="en-US"/>
              </w:rPr>
            </w:pPr>
            <w:r w:rsidRPr="006E33E6">
              <w:rPr>
                <w:rFonts w:asciiTheme="minorHAnsi" w:hAnsiTheme="minorHAnsi" w:cstheme="minorHAnsi"/>
                <w:b/>
                <w:bCs/>
                <w:lang w:val="en-US"/>
              </w:rPr>
              <w:t>Evidence and examples</w:t>
            </w:r>
          </w:p>
          <w:p w:rsidRPr="006E33E6" w:rsidR="00F74C6A" w:rsidP="00483F75" w:rsidRDefault="00F74C6A" w14:paraId="2A3E39BA" w14:textId="77777777">
            <w:pPr>
              <w:pStyle w:val="PwCNormal"/>
              <w:numPr>
                <w:ilvl w:val="0"/>
                <w:numId w:val="0"/>
              </w:numPr>
              <w:rPr>
                <w:rFonts w:asciiTheme="minorHAnsi" w:hAnsiTheme="minorHAnsi" w:cstheme="minorHAnsi"/>
              </w:rPr>
            </w:pPr>
            <w:r w:rsidRPr="006E33E6">
              <w:rPr>
                <w:rFonts w:asciiTheme="minorHAnsi" w:hAnsiTheme="minorHAnsi" w:cstheme="minorHAnsi"/>
                <w:lang w:val="en-US"/>
              </w:rPr>
              <w:t>Illustrations do not complement the flow.</w:t>
            </w:r>
          </w:p>
          <w:p w:rsidRPr="006E33E6" w:rsidR="00F74C6A" w:rsidP="00483F75" w:rsidRDefault="00F74C6A" w14:paraId="30395097" w14:textId="77777777">
            <w:pPr>
              <w:pStyle w:val="ListBullet"/>
              <w:numPr>
                <w:ilvl w:val="0"/>
                <w:numId w:val="0"/>
              </w:numPr>
              <w:rPr>
                <w:rFonts w:asciiTheme="minorHAnsi" w:hAnsiTheme="minorHAnsi" w:cstheme="minorHAnsi"/>
                <w:b/>
                <w:bCs/>
              </w:rPr>
            </w:pPr>
          </w:p>
        </w:tc>
        <w:tc>
          <w:tcPr>
            <w:tcW w:w="7253" w:type="dxa"/>
          </w:tcPr>
          <w:p w:rsidRPr="006E33E6" w:rsidR="00F74C6A" w:rsidP="00483F75" w:rsidRDefault="00F74C6A" w14:paraId="21D5774A" w14:textId="77777777">
            <w:pPr>
              <w:pStyle w:val="PwCNormal"/>
              <w:numPr>
                <w:ilvl w:val="0"/>
                <w:numId w:val="0"/>
              </w:numPr>
              <w:spacing w:after="0"/>
              <w:rPr>
                <w:rFonts w:asciiTheme="minorHAnsi" w:hAnsiTheme="minorHAnsi" w:cstheme="minorHAnsi"/>
              </w:rPr>
            </w:pPr>
            <w:r w:rsidRPr="006E33E6">
              <w:rPr>
                <w:rFonts w:asciiTheme="minorHAnsi" w:hAnsiTheme="minorHAnsi" w:cstheme="minorHAnsi"/>
                <w:noProof/>
              </w:rPr>
              <w:drawing>
                <wp:inline distT="0" distB="0" distL="0" distR="0" wp14:anchorId="7534341B" wp14:editId="1482E74F">
                  <wp:extent cx="1343025" cy="755014"/>
                  <wp:effectExtent l="0" t="0" r="0" b="7620"/>
                  <wp:docPr id="1354" name="Picture 7"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Picture 7" descr="Screen shot demonstrating issue described"/>
                          <pic:cNvPicPr/>
                        </pic:nvPicPr>
                        <pic:blipFill>
                          <a:blip r:embed="rId42">
                            <a:extLst>
                              <a:ext uri="{FF2B5EF4-FFF2-40B4-BE49-F238E27FC236}">
                                <a16:creationId xmlns:oel="http://schemas.microsoft.com/office/2019/extlst"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0B58B68-51D7-02A4-7B9F-1480B3E37B11}"/>
                              </a:ext>
                            </a:extLst>
                          </a:blip>
                          <a:srcRect t="17440" b="58528"/>
                          <a:stretch>
                            <a:fillRect/>
                          </a:stretch>
                        </pic:blipFill>
                        <pic:spPr>
                          <a:xfrm>
                            <a:off x="0" y="0"/>
                            <a:ext cx="1343025" cy="755014"/>
                          </a:xfrm>
                          <a:prstGeom prst="rect">
                            <a:avLst/>
                          </a:prstGeom>
                        </pic:spPr>
                      </pic:pic>
                    </a:graphicData>
                  </a:graphic>
                </wp:inline>
              </w:drawing>
            </w:r>
          </w:p>
          <w:p w:rsidRPr="006E33E6" w:rsidR="00F74C6A" w:rsidP="00483F75" w:rsidRDefault="00F74C6A" w14:paraId="154E21D6" w14:textId="77777777">
            <w:pPr>
              <w:pStyle w:val="PwCNormal"/>
              <w:numPr>
                <w:ilvl w:val="0"/>
                <w:numId w:val="0"/>
              </w:numPr>
              <w:spacing w:after="0"/>
              <w:rPr>
                <w:rFonts w:asciiTheme="minorHAnsi" w:hAnsiTheme="minorHAnsi" w:cstheme="minorHAnsi"/>
              </w:rPr>
            </w:pPr>
            <w:r w:rsidRPr="006E33E6">
              <w:rPr>
                <w:rFonts w:asciiTheme="minorHAnsi" w:hAnsiTheme="minorHAnsi" w:cstheme="minorHAnsi"/>
                <w:noProof/>
              </w:rPr>
              <w:drawing>
                <wp:inline distT="0" distB="0" distL="0" distR="0" wp14:anchorId="538CFEAA" wp14:editId="313C0078">
                  <wp:extent cx="1192853" cy="747884"/>
                  <wp:effectExtent l="0" t="0" r="7620" b="0"/>
                  <wp:docPr id="1355" name="Picture 4"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Picture 4" descr="Screen shot demonstrating issue described"/>
                          <pic:cNvPicPr/>
                        </pic:nvPicPr>
                        <pic:blipFill>
                          <a:blip r:embed="rId43">
                            <a:extLst>
                              <a:ext uri="{FF2B5EF4-FFF2-40B4-BE49-F238E27FC236}">
                                <a16:creationId xmlns:oel="http://schemas.microsoft.com/office/2019/extlst"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04DA6E42-4B18-1C64-C508-873F21AB27A7}"/>
                              </a:ext>
                            </a:extLst>
                          </a:blip>
                          <a:srcRect t="6346" b="67522"/>
                          <a:stretch>
                            <a:fillRect/>
                          </a:stretch>
                        </pic:blipFill>
                        <pic:spPr>
                          <a:xfrm>
                            <a:off x="0" y="0"/>
                            <a:ext cx="1192853" cy="747884"/>
                          </a:xfrm>
                          <a:prstGeom prst="rect">
                            <a:avLst/>
                          </a:prstGeom>
                        </pic:spPr>
                      </pic:pic>
                    </a:graphicData>
                  </a:graphic>
                </wp:inline>
              </w:drawing>
            </w:r>
          </w:p>
        </w:tc>
      </w:tr>
      <w:tr w:rsidRPr="006E33E6" w:rsidR="006E33E6" w:rsidTr="00483F75" w14:paraId="73B1D920" w14:textId="77777777">
        <w:tc>
          <w:tcPr>
            <w:tcW w:w="2830" w:type="dxa"/>
          </w:tcPr>
          <w:p w:rsidRPr="006E33E6" w:rsidR="00F74C6A" w:rsidP="00483F75" w:rsidRDefault="00F74C6A" w14:paraId="2634DC90" w14:textId="77777777">
            <w:pPr>
              <w:pStyle w:val="PwCNormal"/>
              <w:numPr>
                <w:ilvl w:val="0"/>
                <w:numId w:val="0"/>
              </w:numPr>
              <w:rPr>
                <w:rFonts w:asciiTheme="minorHAnsi" w:hAnsiTheme="minorHAnsi" w:cstheme="minorHAnsi"/>
                <w:lang w:val="en-US"/>
              </w:rPr>
            </w:pPr>
            <w:r w:rsidRPr="006E33E6">
              <w:rPr>
                <w:rFonts w:asciiTheme="minorHAnsi" w:hAnsiTheme="minorHAnsi" w:cstheme="minorHAnsi"/>
                <w:lang w:val="en-US"/>
              </w:rPr>
              <w:t>Example of a hard-to-understand page that could benefit from an infographic explanation.</w:t>
            </w:r>
          </w:p>
          <w:p w:rsidRPr="006E33E6" w:rsidR="00F74C6A" w:rsidP="00483F75" w:rsidRDefault="00F74C6A" w14:paraId="54FE4386" w14:textId="77777777">
            <w:pPr>
              <w:pStyle w:val="PwCNormal"/>
              <w:numPr>
                <w:ilvl w:val="0"/>
                <w:numId w:val="0"/>
              </w:numPr>
              <w:rPr>
                <w:rFonts w:asciiTheme="minorHAnsi" w:hAnsiTheme="minorHAnsi" w:cstheme="minorHAnsi"/>
              </w:rPr>
            </w:pPr>
            <w:r w:rsidRPr="006E33E6">
              <w:rPr>
                <w:rFonts w:asciiTheme="minorHAnsi" w:hAnsiTheme="minorHAnsi" w:cstheme="minorHAnsi"/>
              </w:rPr>
              <w:t>The white box is where the image, or infographic, should go.</w:t>
            </w:r>
          </w:p>
          <w:p w:rsidRPr="006E33E6" w:rsidR="00F74C6A" w:rsidP="00483F75" w:rsidRDefault="00F74C6A" w14:paraId="397142E6" w14:textId="77777777">
            <w:pPr>
              <w:pStyle w:val="ListBullet"/>
              <w:numPr>
                <w:ilvl w:val="0"/>
                <w:numId w:val="0"/>
              </w:numPr>
              <w:rPr>
                <w:rFonts w:asciiTheme="minorHAnsi" w:hAnsiTheme="minorHAnsi" w:cstheme="minorHAnsi"/>
                <w:b/>
                <w:bCs/>
                <w:lang w:val="en-US"/>
              </w:rPr>
            </w:pPr>
          </w:p>
        </w:tc>
        <w:tc>
          <w:tcPr>
            <w:tcW w:w="7253" w:type="dxa"/>
          </w:tcPr>
          <w:p w:rsidRPr="006E33E6" w:rsidR="00F74C6A" w:rsidP="00483F75" w:rsidRDefault="00F74C6A" w14:paraId="49203584" w14:textId="77777777">
            <w:pPr>
              <w:pStyle w:val="PwCNormal"/>
              <w:numPr>
                <w:ilvl w:val="0"/>
                <w:numId w:val="0"/>
              </w:numPr>
              <w:spacing w:after="0"/>
              <w:rPr>
                <w:rFonts w:asciiTheme="minorHAnsi" w:hAnsiTheme="minorHAnsi" w:cstheme="minorHAnsi"/>
              </w:rPr>
            </w:pPr>
            <w:r w:rsidRPr="006E33E6">
              <w:rPr>
                <w:rFonts w:asciiTheme="minorHAnsi" w:hAnsiTheme="minorHAnsi" w:cstheme="minorHAnsi"/>
                <w:noProof/>
                <w:shd w:val="clear" w:color="auto" w:fill="E6E6E6"/>
              </w:rPr>
              <w:drawing>
                <wp:inline distT="0" distB="0" distL="0" distR="0" wp14:anchorId="5D89BE02" wp14:editId="51A0D91B">
                  <wp:extent cx="1416517" cy="3324225"/>
                  <wp:effectExtent l="0" t="0" r="0" b="0"/>
                  <wp:docPr id="1356" name="Picture 1356"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Picture 1356" descr="Screen shot demonstrating issue described"/>
                          <pic:cNvPicPr/>
                        </pic:nvPicPr>
                        <pic:blipFill>
                          <a:blip r:embed="rId44">
                            <a:extLst>
                              <a:ext uri="{28A0092B-C50C-407E-A947-70E740481C1C}">
                                <a14:useLocalDpi xmlns:a14="http://schemas.microsoft.com/office/drawing/2010/main" val="0"/>
                              </a:ext>
                            </a:extLst>
                          </a:blip>
                          <a:stretch>
                            <a:fillRect/>
                          </a:stretch>
                        </pic:blipFill>
                        <pic:spPr>
                          <a:xfrm>
                            <a:off x="0" y="0"/>
                            <a:ext cx="1416517" cy="3324225"/>
                          </a:xfrm>
                          <a:prstGeom prst="rect">
                            <a:avLst/>
                          </a:prstGeom>
                        </pic:spPr>
                      </pic:pic>
                    </a:graphicData>
                  </a:graphic>
                </wp:inline>
              </w:drawing>
            </w:r>
          </w:p>
        </w:tc>
      </w:tr>
    </w:tbl>
    <w:p w:rsidRPr="006E33E6" w:rsidR="00F74C6A" w:rsidP="00F74C6A" w:rsidRDefault="00F74C6A" w14:paraId="08E3881B" w14:textId="77777777">
      <w:pPr>
        <w:rPr>
          <w:b/>
        </w:rPr>
      </w:pPr>
    </w:p>
    <w:p w:rsidRPr="006E33E6" w:rsidR="00F74C6A" w:rsidP="00F74C6A" w:rsidRDefault="00F74C6A" w14:paraId="1BE92171" w14:textId="77777777">
      <w:pPr>
        <w:rPr>
          <w:b/>
        </w:rPr>
      </w:pPr>
    </w:p>
    <w:p w:rsidRPr="006E33E6" w:rsidR="00F74C6A" w:rsidP="00F74C6A" w:rsidRDefault="00F74C6A" w14:paraId="59B4B747" w14:textId="77777777">
      <w:r w:rsidRPr="006E33E6">
        <w:rPr>
          <w:b/>
        </w:rPr>
        <w:br w:type="page"/>
      </w:r>
    </w:p>
    <w:tbl>
      <w:tblPr>
        <w:tblStyle w:val="Tables-APBase"/>
        <w:tblW w:w="0" w:type="auto"/>
        <w:tblLook w:val="04A0" w:firstRow="1" w:lastRow="0" w:firstColumn="1" w:lastColumn="0" w:noHBand="0" w:noVBand="1"/>
      </w:tblPr>
      <w:tblGrid>
        <w:gridCol w:w="2797"/>
        <w:gridCol w:w="7058"/>
      </w:tblGrid>
      <w:tr w:rsidRPr="006E33E6" w:rsidR="006E33E6" w:rsidTr="002C1B01" w14:paraId="54569836"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083" w:type="dxa"/>
            <w:gridSpan w:val="2"/>
            <w:shd w:val="clear" w:color="auto" w:fill="DC6900" w:themeFill="accent1"/>
          </w:tcPr>
          <w:p w:rsidRPr="006E33E6" w:rsidR="00F74C6A" w:rsidP="00483F75" w:rsidRDefault="00F74C6A" w14:paraId="04E806B9" w14:textId="77777777">
            <w:pPr>
              <w:pStyle w:val="Tableheadings"/>
              <w:rPr>
                <w:rFonts w:asciiTheme="minorHAnsi" w:hAnsiTheme="minorHAnsi" w:cstheme="minorHAnsi"/>
                <w:bCs/>
              </w:rPr>
            </w:pPr>
            <w:r w:rsidRPr="006E33E6">
              <w:rPr>
                <w:rFonts w:asciiTheme="minorHAnsi" w:hAnsiTheme="minorHAnsi" w:cstheme="minorHAnsi"/>
              </w:rPr>
              <w:lastRenderedPageBreak/>
              <w:t>Issue theme 2: Clarity and understanding</w:t>
            </w:r>
            <w:r w:rsidRPr="006E33E6">
              <w:rPr>
                <w:rFonts w:asciiTheme="minorHAnsi" w:hAnsiTheme="minorHAnsi" w:cstheme="minorHAnsi"/>
              </w:rPr>
              <w:br/>
            </w:r>
            <w:r w:rsidRPr="006E33E6">
              <w:rPr>
                <w:rFonts w:asciiTheme="minorHAnsi" w:hAnsiTheme="minorHAnsi" w:cstheme="minorHAnsi"/>
              </w:rPr>
              <w:t>Issue 2.4: Financial and digital literacy</w:t>
            </w:r>
          </w:p>
        </w:tc>
      </w:tr>
      <w:tr w:rsidRPr="006E33E6" w:rsidR="006E33E6" w:rsidTr="002C1B01" w14:paraId="39348E3D" w14:textId="77777777">
        <w:tc>
          <w:tcPr>
            <w:tcW w:w="10083" w:type="dxa"/>
            <w:gridSpan w:val="2"/>
          </w:tcPr>
          <w:p w:rsidRPr="006E33E6" w:rsidR="00F74C6A" w:rsidP="00483F75" w:rsidRDefault="00F74C6A" w14:paraId="191A2184" w14:textId="77777777">
            <w:pPr>
              <w:pStyle w:val="Normal0"/>
              <w:rPr>
                <w:rFonts w:asciiTheme="minorHAnsi" w:hAnsiTheme="minorHAnsi" w:cstheme="minorHAnsi"/>
              </w:rPr>
            </w:pPr>
            <w:r w:rsidRPr="006E33E6">
              <w:rPr>
                <w:rFonts w:asciiTheme="minorHAnsi" w:hAnsiTheme="minorHAnsi" w:cstheme="minorHAnsi"/>
              </w:rPr>
              <w:t xml:space="preserve">Consumers noted that there is a large range of financial and digital literacy across the Australian population. </w:t>
            </w:r>
          </w:p>
          <w:p w:rsidRPr="006E33E6" w:rsidR="00F74C6A" w:rsidP="00483F75" w:rsidRDefault="00F74C6A" w14:paraId="1A848CE3" w14:textId="77777777">
            <w:pPr>
              <w:pStyle w:val="Normal0"/>
              <w:rPr>
                <w:rFonts w:asciiTheme="minorHAnsi" w:hAnsiTheme="minorHAnsi" w:cstheme="minorHAnsi"/>
              </w:rPr>
            </w:pPr>
            <w:proofErr w:type="gramStart"/>
            <w:r w:rsidRPr="006E33E6">
              <w:rPr>
                <w:rFonts w:asciiTheme="minorHAnsi" w:hAnsiTheme="minorHAnsi" w:cstheme="minorHAnsi"/>
              </w:rPr>
              <w:t>The majority of</w:t>
            </w:r>
            <w:proofErr w:type="gramEnd"/>
            <w:r w:rsidRPr="006E33E6">
              <w:rPr>
                <w:rFonts w:asciiTheme="minorHAnsi" w:hAnsiTheme="minorHAnsi" w:cstheme="minorHAnsi"/>
              </w:rPr>
              <w:t xml:space="preserve"> consumers felt less comfortable using a digital product for financial products and would prefer to talk to a representative from their financial institution. </w:t>
            </w:r>
          </w:p>
          <w:p w:rsidRPr="006E33E6" w:rsidR="00F74C6A" w:rsidP="00483F75" w:rsidRDefault="00F74C6A" w14:paraId="6A1DA253" w14:textId="77777777">
            <w:pPr>
              <w:pStyle w:val="Normal0"/>
              <w:rPr>
                <w:rFonts w:asciiTheme="minorHAnsi" w:hAnsiTheme="minorHAnsi" w:cstheme="minorHAnsi"/>
              </w:rPr>
            </w:pPr>
            <w:r w:rsidRPr="006E33E6">
              <w:rPr>
                <w:rFonts w:asciiTheme="minorHAnsi" w:hAnsiTheme="minorHAnsi" w:cstheme="minorHAnsi"/>
              </w:rPr>
              <w:t>Consumers perceived these representatives as experts with more financial literacy than themselves.</w:t>
            </w:r>
          </w:p>
          <w:p w:rsidRPr="006E33E6" w:rsidR="00F74C6A" w:rsidP="00483F75" w:rsidRDefault="00F74C6A" w14:paraId="0DE93D65" w14:textId="77777777">
            <w:pPr>
              <w:pStyle w:val="Normal0"/>
              <w:rPr>
                <w:rFonts w:asciiTheme="minorHAnsi" w:hAnsiTheme="minorHAnsi" w:cstheme="minorHAnsi"/>
              </w:rPr>
            </w:pPr>
            <w:r w:rsidRPr="006E33E6">
              <w:rPr>
                <w:rFonts w:asciiTheme="minorHAnsi" w:hAnsiTheme="minorHAnsi" w:cstheme="minorHAnsi"/>
              </w:rPr>
              <w:t xml:space="preserve">Digital literacy and access to digital technologies can also be a barrier for consumers. Most consumers felt more comfortable using their desktop/laptops than their smartphones to access this information. </w:t>
            </w:r>
          </w:p>
          <w:p w:rsidRPr="006E33E6" w:rsidR="00F74C6A" w:rsidP="00483F75" w:rsidRDefault="00F74C6A" w14:paraId="47E50D1B" w14:textId="77777777">
            <w:pPr>
              <w:pStyle w:val="Normal0"/>
              <w:rPr>
                <w:rFonts w:asciiTheme="minorHAnsi" w:hAnsiTheme="minorHAnsi" w:cstheme="minorHAnsi"/>
              </w:rPr>
            </w:pPr>
            <w:r w:rsidRPr="006E33E6">
              <w:rPr>
                <w:rFonts w:asciiTheme="minorHAnsi" w:hAnsiTheme="minorHAnsi" w:cstheme="minorHAnsi"/>
              </w:rPr>
              <w:t>The combination of low digital and financial literacy can lead to participants disengaging from this product.</w:t>
            </w:r>
          </w:p>
        </w:tc>
      </w:tr>
      <w:tr w:rsidRPr="006E33E6" w:rsidR="006E33E6" w:rsidTr="002C1B01" w14:paraId="02ED802E" w14:textId="77777777">
        <w:tc>
          <w:tcPr>
            <w:tcW w:w="2830" w:type="dxa"/>
          </w:tcPr>
          <w:p w:rsidRPr="006E33E6" w:rsidR="00F74C6A" w:rsidP="00483F75" w:rsidRDefault="00F74C6A" w14:paraId="3041944D" w14:textId="77777777">
            <w:pPr>
              <w:pStyle w:val="ListBullet"/>
              <w:numPr>
                <w:ilvl w:val="0"/>
                <w:numId w:val="0"/>
              </w:numPr>
              <w:rPr>
                <w:rFonts w:asciiTheme="minorHAnsi" w:hAnsiTheme="minorHAnsi" w:cstheme="minorHAnsi"/>
                <w:lang w:val="en-US"/>
              </w:rPr>
            </w:pPr>
            <w:r w:rsidRPr="006E33E6">
              <w:rPr>
                <w:rFonts w:asciiTheme="minorHAnsi" w:hAnsiTheme="minorHAnsi" w:cstheme="minorHAnsi"/>
                <w:b/>
                <w:bCs/>
              </w:rPr>
              <w:t xml:space="preserve">Recommendation: </w:t>
            </w:r>
            <w:r w:rsidRPr="006E33E6">
              <w:rPr>
                <w:rFonts w:asciiTheme="minorHAnsi" w:hAnsiTheme="minorHAnsi" w:cstheme="minorHAnsi"/>
              </w:rPr>
              <w:br/>
            </w:r>
            <w:r w:rsidRPr="006E33E6">
              <w:rPr>
                <w:rFonts w:asciiTheme="minorHAnsi" w:hAnsiTheme="minorHAnsi" w:cstheme="minorHAnsi"/>
                <w:b/>
                <w:bCs/>
              </w:rPr>
              <w:t>Provide omni-channel experience and education</w:t>
            </w:r>
          </w:p>
          <w:p w:rsidRPr="006E33E6" w:rsidR="00F74C6A" w:rsidP="00483F75" w:rsidRDefault="00F74C6A" w14:paraId="5EE31527" w14:textId="77777777">
            <w:pPr>
              <w:pStyle w:val="ListBullet"/>
              <w:numPr>
                <w:ilvl w:val="0"/>
                <w:numId w:val="0"/>
              </w:numPr>
              <w:rPr>
                <w:rFonts w:asciiTheme="minorHAnsi" w:hAnsiTheme="minorHAnsi" w:cstheme="minorHAnsi"/>
                <w:lang w:val="en-US"/>
              </w:rPr>
            </w:pPr>
          </w:p>
        </w:tc>
        <w:tc>
          <w:tcPr>
            <w:tcW w:w="7253" w:type="dxa"/>
          </w:tcPr>
          <w:p w:rsidRPr="006E33E6" w:rsidR="00F74C6A" w:rsidP="00F74C6A" w:rsidRDefault="00F74C6A" w14:paraId="48AF6870" w14:textId="77777777">
            <w:pPr>
              <w:pStyle w:val="ListBullet"/>
              <w:numPr>
                <w:ilvl w:val="0"/>
                <w:numId w:val="16"/>
              </w:numPr>
              <w:rPr>
                <w:rFonts w:asciiTheme="minorHAnsi" w:hAnsiTheme="minorHAnsi" w:cstheme="minorHAnsi"/>
                <w:lang w:val="en-GB"/>
              </w:rPr>
            </w:pPr>
            <w:r w:rsidRPr="006E33E6">
              <w:rPr>
                <w:rFonts w:asciiTheme="minorHAnsi" w:hAnsiTheme="minorHAnsi" w:cstheme="minorHAnsi"/>
                <w:lang w:val="en-GB"/>
              </w:rPr>
              <w:t xml:space="preserve">Provide consumers with an omni-channel experience to access this product. </w:t>
            </w:r>
          </w:p>
          <w:p w:rsidRPr="006E33E6" w:rsidR="00F74C6A" w:rsidP="00F74C6A" w:rsidRDefault="00F74C6A" w14:paraId="0C46606A" w14:textId="77777777">
            <w:pPr>
              <w:pStyle w:val="ListBullet"/>
              <w:numPr>
                <w:ilvl w:val="0"/>
                <w:numId w:val="16"/>
              </w:numPr>
              <w:rPr>
                <w:rFonts w:asciiTheme="minorHAnsi" w:hAnsiTheme="minorHAnsi" w:cstheme="minorHAnsi"/>
                <w:lang w:val="en-GB"/>
              </w:rPr>
            </w:pPr>
            <w:r w:rsidRPr="006E33E6">
              <w:rPr>
                <w:rFonts w:asciiTheme="minorHAnsi" w:hAnsiTheme="minorHAnsi" w:cstheme="minorHAnsi"/>
                <w:lang w:val="en-GB"/>
              </w:rPr>
              <w:t>Ensure complex content has suitable explanations for consumers with low financial literacy and digital literacy.</w:t>
            </w:r>
          </w:p>
        </w:tc>
      </w:tr>
    </w:tbl>
    <w:p w:rsidRPr="006E33E6" w:rsidR="00F74C6A" w:rsidP="00F74C6A" w:rsidRDefault="00F74C6A" w14:paraId="6C5B04A1" w14:textId="77777777">
      <w:pPr>
        <w:rPr>
          <w:b/>
        </w:rPr>
      </w:pPr>
    </w:p>
    <w:p w:rsidRPr="006E33E6" w:rsidR="00F74C6A" w:rsidP="00F74C6A" w:rsidRDefault="00F74C6A" w14:paraId="7ACD7CDD" w14:textId="77777777"/>
    <w:p w:rsidRPr="006E33E6" w:rsidR="00F74C6A" w:rsidP="00F74C6A" w:rsidRDefault="00F74C6A" w14:paraId="383C1C1A" w14:textId="77777777">
      <w:r w:rsidRPr="006E33E6">
        <w:rPr>
          <w:b/>
        </w:rPr>
        <w:br w:type="page"/>
      </w:r>
    </w:p>
    <w:tbl>
      <w:tblPr>
        <w:tblStyle w:val="Tables-APBase"/>
        <w:tblW w:w="0" w:type="auto"/>
        <w:tblLook w:val="04A0" w:firstRow="1" w:lastRow="0" w:firstColumn="1" w:lastColumn="0" w:noHBand="0" w:noVBand="1"/>
      </w:tblPr>
      <w:tblGrid>
        <w:gridCol w:w="2777"/>
        <w:gridCol w:w="7078"/>
      </w:tblGrid>
      <w:tr w:rsidRPr="006E33E6" w:rsidR="006E33E6" w:rsidTr="00483F75" w14:paraId="57E6A6E1"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083" w:type="dxa"/>
            <w:gridSpan w:val="2"/>
            <w:shd w:val="clear" w:color="auto" w:fill="DC6900" w:themeFill="accent1"/>
          </w:tcPr>
          <w:p w:rsidRPr="006E33E6" w:rsidR="00F74C6A" w:rsidP="00483F75" w:rsidRDefault="00F74C6A" w14:paraId="750EE7FC" w14:textId="77777777">
            <w:pPr>
              <w:pStyle w:val="Tableheadings"/>
              <w:rPr>
                <w:rFonts w:asciiTheme="minorHAnsi" w:hAnsiTheme="minorHAnsi" w:cstheme="minorHAnsi"/>
                <w:bCs/>
              </w:rPr>
            </w:pPr>
            <w:r w:rsidRPr="006E33E6">
              <w:rPr>
                <w:rFonts w:asciiTheme="minorHAnsi" w:hAnsiTheme="minorHAnsi" w:cstheme="minorHAnsi"/>
              </w:rPr>
              <w:lastRenderedPageBreak/>
              <w:t>Issue theme 3: Consistency</w:t>
            </w:r>
            <w:r w:rsidRPr="006E33E6">
              <w:rPr>
                <w:rFonts w:asciiTheme="minorHAnsi" w:hAnsiTheme="minorHAnsi" w:cstheme="minorHAnsi"/>
              </w:rPr>
              <w:br/>
            </w:r>
            <w:r w:rsidRPr="006E33E6">
              <w:rPr>
                <w:rFonts w:asciiTheme="minorHAnsi" w:hAnsiTheme="minorHAnsi" w:cstheme="minorHAnsi"/>
              </w:rPr>
              <w:t>Issue 3.1: Input controls</w:t>
            </w:r>
          </w:p>
        </w:tc>
      </w:tr>
      <w:tr w:rsidRPr="006E33E6" w:rsidR="006E33E6" w:rsidTr="00483F75" w14:paraId="0E5FCE98" w14:textId="77777777">
        <w:tc>
          <w:tcPr>
            <w:tcW w:w="10083" w:type="dxa"/>
            <w:gridSpan w:val="2"/>
          </w:tcPr>
          <w:p w:rsidRPr="006E33E6" w:rsidR="00F74C6A" w:rsidP="00483F75" w:rsidRDefault="00F74C6A" w14:paraId="469CFB27" w14:textId="77777777">
            <w:pPr>
              <w:pStyle w:val="Normal0"/>
              <w:rPr>
                <w:rFonts w:asciiTheme="minorHAnsi" w:hAnsiTheme="minorHAnsi" w:cstheme="minorHAnsi"/>
              </w:rPr>
            </w:pPr>
            <w:r w:rsidRPr="006E33E6">
              <w:rPr>
                <w:rFonts w:asciiTheme="minorHAnsi" w:hAnsiTheme="minorHAnsi" w:cstheme="minorHAnsi"/>
              </w:rPr>
              <w:t>Inconsistent language used for the same information about consent caused confusion. The facilitator in the session needed to set expectations multiple times for interacting with the controls.</w:t>
            </w:r>
          </w:p>
          <w:p w:rsidRPr="006E33E6" w:rsidR="00F74C6A" w:rsidP="00483F75" w:rsidRDefault="00F74C6A" w14:paraId="0F5BD2D9" w14:textId="77777777">
            <w:pPr>
              <w:pStyle w:val="Normal0"/>
              <w:rPr>
                <w:rFonts w:asciiTheme="minorHAnsi" w:hAnsiTheme="minorHAnsi" w:cstheme="minorHAnsi"/>
              </w:rPr>
            </w:pPr>
            <w:r w:rsidRPr="006E33E6">
              <w:rPr>
                <w:rFonts w:asciiTheme="minorHAnsi" w:hAnsiTheme="minorHAnsi" w:cstheme="minorHAnsi"/>
              </w:rPr>
              <w:t>Inconsistent placement of buttons throughout the product led to confusion with some consumers.</w:t>
            </w:r>
          </w:p>
          <w:p w:rsidRPr="006E33E6" w:rsidR="00F74C6A" w:rsidP="00483F75" w:rsidRDefault="00F74C6A" w14:paraId="50B493D7" w14:textId="77777777">
            <w:pPr>
              <w:pStyle w:val="Normal0"/>
              <w:rPr>
                <w:rFonts w:asciiTheme="minorHAnsi" w:hAnsiTheme="minorHAnsi" w:cstheme="minorHAnsi"/>
              </w:rPr>
            </w:pPr>
            <w:r w:rsidRPr="006E33E6">
              <w:rPr>
                <w:rFonts w:asciiTheme="minorHAnsi" w:hAnsiTheme="minorHAnsi" w:cstheme="minorHAnsi"/>
              </w:rPr>
              <w:t xml:space="preserve">A consumer with a limb tremor expressed a need for larger clickable areas for interactable items (buttons and links), more time to complete tasks, and more error prevention. </w:t>
            </w:r>
          </w:p>
          <w:p w:rsidRPr="006E33E6" w:rsidR="00F74C6A" w:rsidP="00483F75" w:rsidRDefault="00F74C6A" w14:paraId="3A98841C" w14:textId="77777777">
            <w:pPr>
              <w:pStyle w:val="Normal0"/>
              <w:rPr>
                <w:rFonts w:asciiTheme="minorHAnsi" w:hAnsiTheme="minorHAnsi" w:cstheme="minorHAnsi"/>
              </w:rPr>
            </w:pPr>
            <w:r w:rsidRPr="006E33E6">
              <w:rPr>
                <w:rFonts w:asciiTheme="minorHAnsi" w:hAnsiTheme="minorHAnsi" w:cstheme="minorHAnsi"/>
              </w:rPr>
              <w:t>There was an instance where the consumer clicked “Deny” by accident and was unable to easily go back to the correct option.</w:t>
            </w:r>
          </w:p>
          <w:p w:rsidRPr="006E33E6" w:rsidR="00F74C6A" w:rsidP="00483F75" w:rsidRDefault="00F74C6A" w14:paraId="0810FA52" w14:textId="77777777">
            <w:pPr>
              <w:pStyle w:val="PwCNormal"/>
              <w:numPr>
                <w:ilvl w:val="0"/>
                <w:numId w:val="0"/>
              </w:numPr>
              <w:rPr>
                <w:rFonts w:asciiTheme="minorHAnsi" w:hAnsiTheme="minorHAnsi" w:cstheme="minorHAnsi"/>
                <w:lang w:val="en-US"/>
              </w:rPr>
            </w:pPr>
            <w:r w:rsidRPr="006E33E6">
              <w:rPr>
                <w:rFonts w:asciiTheme="minorHAnsi" w:hAnsiTheme="minorHAnsi" w:cstheme="minorHAnsi"/>
                <w:lang w:val="en-US"/>
              </w:rPr>
              <w:t>The terms ‘consent’ and ‘</w:t>
            </w:r>
            <w:proofErr w:type="spellStart"/>
            <w:r w:rsidRPr="006E33E6">
              <w:rPr>
                <w:rFonts w:asciiTheme="minorHAnsi" w:hAnsiTheme="minorHAnsi" w:cstheme="minorHAnsi"/>
                <w:lang w:val="en-US"/>
              </w:rPr>
              <w:t>authorise</w:t>
            </w:r>
            <w:proofErr w:type="spellEnd"/>
            <w:r w:rsidRPr="006E33E6">
              <w:rPr>
                <w:rFonts w:asciiTheme="minorHAnsi" w:hAnsiTheme="minorHAnsi" w:cstheme="minorHAnsi"/>
                <w:lang w:val="en-US"/>
              </w:rPr>
              <w:t xml:space="preserve">’ reflects the rules, however in the context of consumer understanding the language can be misunderstood. </w:t>
            </w:r>
          </w:p>
        </w:tc>
      </w:tr>
      <w:tr w:rsidRPr="006E33E6" w:rsidR="006E33E6" w:rsidTr="00483F75" w14:paraId="17C94EF8" w14:textId="77777777">
        <w:tc>
          <w:tcPr>
            <w:tcW w:w="2830" w:type="dxa"/>
          </w:tcPr>
          <w:p w:rsidRPr="006E33E6" w:rsidR="00F74C6A" w:rsidP="00483F75" w:rsidRDefault="00F74C6A" w14:paraId="0C85568B" w14:textId="77777777">
            <w:pPr>
              <w:pStyle w:val="ListBullet"/>
              <w:numPr>
                <w:ilvl w:val="0"/>
                <w:numId w:val="0"/>
              </w:numPr>
              <w:rPr>
                <w:rFonts w:asciiTheme="minorHAnsi" w:hAnsiTheme="minorHAnsi" w:cstheme="minorHAnsi"/>
                <w:lang w:val="en-US"/>
              </w:rPr>
            </w:pPr>
            <w:r w:rsidRPr="006E33E6">
              <w:rPr>
                <w:rFonts w:asciiTheme="minorHAnsi" w:hAnsiTheme="minorHAnsi" w:cstheme="minorHAnsi"/>
                <w:b/>
                <w:bCs/>
              </w:rPr>
              <w:t xml:space="preserve">Recommendation: </w:t>
            </w:r>
            <w:r w:rsidRPr="006E33E6">
              <w:rPr>
                <w:rFonts w:asciiTheme="minorHAnsi" w:hAnsiTheme="minorHAnsi" w:cstheme="minorHAnsi"/>
              </w:rPr>
              <w:br/>
            </w:r>
            <w:r w:rsidRPr="006E33E6">
              <w:rPr>
                <w:rFonts w:asciiTheme="minorHAnsi" w:hAnsiTheme="minorHAnsi" w:cstheme="minorHAnsi"/>
                <w:b/>
                <w:lang w:val="en-US"/>
              </w:rPr>
              <w:t>Bring consistency to input controls</w:t>
            </w:r>
          </w:p>
        </w:tc>
        <w:tc>
          <w:tcPr>
            <w:tcW w:w="7253" w:type="dxa"/>
          </w:tcPr>
          <w:p w:rsidRPr="006E33E6" w:rsidR="00F74C6A" w:rsidP="00483F75" w:rsidRDefault="00F74C6A" w14:paraId="7255C43F" w14:textId="77777777">
            <w:pPr>
              <w:pStyle w:val="ListBullet"/>
              <w:rPr>
                <w:rFonts w:asciiTheme="minorHAnsi" w:hAnsiTheme="minorHAnsi" w:cstheme="minorHAnsi"/>
                <w:lang w:val="en-US"/>
              </w:rPr>
            </w:pPr>
            <w:r w:rsidRPr="006E33E6">
              <w:rPr>
                <w:rFonts w:asciiTheme="minorHAnsi" w:hAnsiTheme="minorHAnsi" w:cstheme="minorHAnsi"/>
                <w:lang w:val="en-US"/>
              </w:rPr>
              <w:t xml:space="preserve">Whilst we appreciate the distinction used by the Rules </w:t>
            </w:r>
            <w:proofErr w:type="gramStart"/>
            <w:r w:rsidRPr="006E33E6">
              <w:rPr>
                <w:rFonts w:asciiTheme="minorHAnsi" w:hAnsiTheme="minorHAnsi" w:cstheme="minorHAnsi"/>
                <w:lang w:val="en-US"/>
              </w:rPr>
              <w:t>in order to</w:t>
            </w:r>
            <w:proofErr w:type="gramEnd"/>
            <w:r w:rsidRPr="006E33E6">
              <w:rPr>
                <w:rFonts w:asciiTheme="minorHAnsi" w:hAnsiTheme="minorHAnsi" w:cstheme="minorHAnsi"/>
                <w:lang w:val="en-US"/>
              </w:rPr>
              <w:t xml:space="preserve"> distinguish between consent types, we recommend adopting consistent terminology</w:t>
            </w:r>
            <w:r w:rsidRPr="006E33E6" w:rsidDel="006D40DE">
              <w:rPr>
                <w:rFonts w:asciiTheme="minorHAnsi" w:hAnsiTheme="minorHAnsi" w:cstheme="minorHAnsi"/>
                <w:lang w:val="en-US"/>
              </w:rPr>
              <w:t xml:space="preserve"> </w:t>
            </w:r>
            <w:r w:rsidRPr="006E33E6">
              <w:rPr>
                <w:rFonts w:asciiTheme="minorHAnsi" w:hAnsiTheme="minorHAnsi" w:cstheme="minorHAnsi"/>
                <w:lang w:val="en-US"/>
              </w:rPr>
              <w:t>to assist consumers in understanding the material quickly.</w:t>
            </w:r>
          </w:p>
          <w:p w:rsidRPr="006E33E6" w:rsidR="00F74C6A" w:rsidP="00483F75" w:rsidRDefault="00F74C6A" w14:paraId="5F56961A" w14:textId="77777777">
            <w:pPr>
              <w:pStyle w:val="ListBullet"/>
              <w:rPr>
                <w:rFonts w:asciiTheme="minorHAnsi" w:hAnsiTheme="minorHAnsi" w:cstheme="minorHAnsi"/>
              </w:rPr>
            </w:pPr>
            <w:r w:rsidRPr="006E33E6">
              <w:rPr>
                <w:rFonts w:asciiTheme="minorHAnsi" w:hAnsiTheme="minorHAnsi" w:cstheme="minorHAnsi"/>
                <w:lang w:val="en-US"/>
              </w:rPr>
              <w:t xml:space="preserve">Use larger buttons and click areas </w:t>
            </w:r>
            <w:proofErr w:type="gramStart"/>
            <w:r w:rsidRPr="006E33E6">
              <w:rPr>
                <w:rFonts w:asciiTheme="minorHAnsi" w:hAnsiTheme="minorHAnsi" w:cstheme="minorHAnsi"/>
                <w:lang w:val="en-US"/>
              </w:rPr>
              <w:t>in order to</w:t>
            </w:r>
            <w:proofErr w:type="gramEnd"/>
            <w:r w:rsidRPr="006E33E6">
              <w:rPr>
                <w:rFonts w:asciiTheme="minorHAnsi" w:hAnsiTheme="minorHAnsi" w:cstheme="minorHAnsi"/>
                <w:lang w:val="en-US"/>
              </w:rPr>
              <w:t xml:space="preserve"> allow consumers with difficulties in navigating small / mobile devices equal-access-of-use.</w:t>
            </w:r>
          </w:p>
        </w:tc>
      </w:tr>
      <w:tr w:rsidRPr="006E33E6" w:rsidR="006E33E6" w:rsidTr="00483F75" w14:paraId="7A5658B2" w14:textId="77777777">
        <w:tc>
          <w:tcPr>
            <w:tcW w:w="2830" w:type="dxa"/>
          </w:tcPr>
          <w:p w:rsidRPr="006E33E6" w:rsidR="00F74C6A" w:rsidP="00483F75" w:rsidRDefault="00F74C6A" w14:paraId="20E74CAC" w14:textId="77777777">
            <w:pPr>
              <w:pStyle w:val="ListBullet"/>
              <w:numPr>
                <w:ilvl w:val="0"/>
                <w:numId w:val="0"/>
              </w:numPr>
              <w:rPr>
                <w:rFonts w:asciiTheme="minorHAnsi" w:hAnsiTheme="minorHAnsi" w:cstheme="minorHAnsi"/>
                <w:b/>
                <w:bCs/>
                <w:lang w:val="en-US"/>
              </w:rPr>
            </w:pPr>
            <w:r w:rsidRPr="006E33E6">
              <w:rPr>
                <w:rFonts w:asciiTheme="minorHAnsi" w:hAnsiTheme="minorHAnsi" w:cstheme="minorHAnsi"/>
                <w:b/>
                <w:bCs/>
                <w:lang w:val="en-US"/>
              </w:rPr>
              <w:t>Evidence and examples</w:t>
            </w:r>
          </w:p>
          <w:p w:rsidRPr="006E33E6" w:rsidR="00F74C6A" w:rsidP="00483F75" w:rsidRDefault="00F74C6A" w14:paraId="64752E63" w14:textId="77777777">
            <w:pPr>
              <w:pStyle w:val="PwCNormal"/>
              <w:numPr>
                <w:ilvl w:val="0"/>
                <w:numId w:val="0"/>
              </w:numPr>
              <w:rPr>
                <w:rFonts w:asciiTheme="minorHAnsi" w:hAnsiTheme="minorHAnsi" w:cstheme="minorHAnsi"/>
                <w:lang w:val="en-US"/>
              </w:rPr>
            </w:pPr>
            <w:r w:rsidRPr="006E33E6">
              <w:rPr>
                <w:rFonts w:asciiTheme="minorHAnsi" w:hAnsiTheme="minorHAnsi" w:cstheme="minorHAnsi"/>
                <w:lang w:val="en-US"/>
              </w:rPr>
              <w:t>Inconsistent language used for buttons and instructions.</w:t>
            </w:r>
          </w:p>
          <w:p w:rsidRPr="006E33E6" w:rsidR="00F74C6A" w:rsidP="00483F75" w:rsidRDefault="00F74C6A" w14:paraId="7E8165E0" w14:textId="77777777">
            <w:pPr>
              <w:pStyle w:val="PwCNormal"/>
              <w:numPr>
                <w:ilvl w:val="0"/>
                <w:numId w:val="0"/>
              </w:numPr>
              <w:rPr>
                <w:rFonts w:asciiTheme="minorHAnsi" w:hAnsiTheme="minorHAnsi" w:cstheme="minorHAnsi"/>
                <w:b/>
                <w:bCs/>
              </w:rPr>
            </w:pPr>
          </w:p>
        </w:tc>
        <w:tc>
          <w:tcPr>
            <w:tcW w:w="7253" w:type="dxa"/>
          </w:tcPr>
          <w:p w:rsidRPr="006E33E6" w:rsidR="00F74C6A" w:rsidP="00483F75" w:rsidRDefault="00F74C6A" w14:paraId="452E4161" w14:textId="22B5C0DE">
            <w:pPr>
              <w:pStyle w:val="PwCNormal"/>
              <w:numPr>
                <w:ilvl w:val="0"/>
                <w:numId w:val="0"/>
              </w:numPr>
              <w:spacing w:after="0"/>
              <w:rPr>
                <w:rFonts w:asciiTheme="minorHAnsi" w:hAnsiTheme="minorHAnsi" w:cstheme="minorHAnsi"/>
              </w:rPr>
            </w:pPr>
            <w:r w:rsidRPr="006E33E6">
              <w:rPr>
                <w:rFonts w:asciiTheme="minorHAnsi" w:hAnsiTheme="minorHAnsi" w:cstheme="minorHAnsi"/>
                <w:noProof/>
                <w:shd w:val="clear" w:color="auto" w:fill="E6E6E6"/>
              </w:rPr>
              <w:drawing>
                <wp:inline distT="0" distB="0" distL="0" distR="0" wp14:anchorId="49EAA677" wp14:editId="31B4D93E">
                  <wp:extent cx="2651760" cy="1731645"/>
                  <wp:effectExtent l="0" t="0" r="0" b="1905"/>
                  <wp:docPr id="1367" name="Picture 1367"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Picture 1367" descr="Screen shot demonstrating issue described"/>
                          <pic:cNvPicPr/>
                        </pic:nvPicPr>
                        <pic:blipFill>
                          <a:blip r:embed="rId45">
                            <a:extLst>
                              <a:ext uri="{28A0092B-C50C-407E-A947-70E740481C1C}">
                                <a14:useLocalDpi xmlns:a14="http://schemas.microsoft.com/office/drawing/2010/main" val="0"/>
                              </a:ext>
                            </a:extLst>
                          </a:blip>
                          <a:stretch>
                            <a:fillRect/>
                          </a:stretch>
                        </pic:blipFill>
                        <pic:spPr>
                          <a:xfrm>
                            <a:off x="0" y="0"/>
                            <a:ext cx="2651760" cy="1731645"/>
                          </a:xfrm>
                          <a:prstGeom prst="rect">
                            <a:avLst/>
                          </a:prstGeom>
                        </pic:spPr>
                      </pic:pic>
                    </a:graphicData>
                  </a:graphic>
                </wp:inline>
              </w:drawing>
            </w:r>
            <w:r w:rsidRPr="006E33E6">
              <w:rPr>
                <w:rFonts w:asciiTheme="minorHAnsi" w:hAnsiTheme="minorHAnsi" w:cstheme="minorHAnsi"/>
                <w:noProof/>
                <w:snapToGrid/>
                <w:shd w:val="clear" w:color="auto" w:fill="E6E6E6"/>
              </w:rPr>
              <w:t xml:space="preserve"> </w:t>
            </w:r>
          </w:p>
          <w:p w:rsidRPr="006E33E6" w:rsidR="00F74C6A" w:rsidP="00483F75" w:rsidRDefault="00F74C6A" w14:paraId="1A8EFB96" w14:textId="77777777">
            <w:pPr>
              <w:pStyle w:val="PwCNormal"/>
              <w:numPr>
                <w:ilvl w:val="0"/>
                <w:numId w:val="0"/>
              </w:numPr>
              <w:spacing w:after="0"/>
              <w:rPr>
                <w:rFonts w:asciiTheme="minorHAnsi" w:hAnsiTheme="minorHAnsi" w:cstheme="minorHAnsi"/>
              </w:rPr>
            </w:pPr>
          </w:p>
        </w:tc>
      </w:tr>
      <w:tr w:rsidRPr="006E33E6" w:rsidR="006E33E6" w:rsidTr="00483F75" w14:paraId="18AD9123" w14:textId="77777777">
        <w:tc>
          <w:tcPr>
            <w:tcW w:w="2830" w:type="dxa"/>
          </w:tcPr>
          <w:p w:rsidRPr="006E33E6" w:rsidR="00F74C6A" w:rsidP="00483F75" w:rsidRDefault="00F74C6A" w14:paraId="5D958F23" w14:textId="77777777">
            <w:pPr>
              <w:pStyle w:val="PwCNormal"/>
              <w:numPr>
                <w:ilvl w:val="0"/>
                <w:numId w:val="0"/>
              </w:numPr>
              <w:rPr>
                <w:rFonts w:asciiTheme="minorHAnsi" w:hAnsiTheme="minorHAnsi" w:cstheme="minorHAnsi"/>
                <w:lang w:val="en-US"/>
              </w:rPr>
            </w:pPr>
            <w:r w:rsidRPr="006E33E6">
              <w:rPr>
                <w:rFonts w:asciiTheme="minorHAnsi" w:hAnsiTheme="minorHAnsi" w:cstheme="minorHAnsi"/>
                <w:lang w:val="en-US"/>
              </w:rPr>
              <w:t>The small size of the call-to-action buttons in relation to the white space, made it hard to go back.</w:t>
            </w:r>
          </w:p>
          <w:p w:rsidRPr="006E33E6" w:rsidR="00F74C6A" w:rsidP="00483F75" w:rsidRDefault="00F74C6A" w14:paraId="4DA10FE6" w14:textId="77777777">
            <w:pPr>
              <w:pStyle w:val="PwCNormal"/>
              <w:numPr>
                <w:ilvl w:val="0"/>
                <w:numId w:val="0"/>
              </w:numPr>
              <w:rPr>
                <w:rFonts w:asciiTheme="minorHAnsi" w:hAnsiTheme="minorHAnsi" w:cstheme="minorHAnsi"/>
              </w:rPr>
            </w:pPr>
            <w:r w:rsidRPr="006E33E6">
              <w:rPr>
                <w:rFonts w:asciiTheme="minorHAnsi" w:hAnsiTheme="minorHAnsi" w:cstheme="minorHAnsi"/>
              </w:rPr>
              <w:t>Note this screen shot is from the prototype. the CX Guidelines and wireframes have addressed this issue, and therefore this should be considered a best practice reminder in that instance.</w:t>
            </w:r>
          </w:p>
          <w:p w:rsidRPr="006E33E6" w:rsidR="00F74C6A" w:rsidP="00483F75" w:rsidRDefault="00F74C6A" w14:paraId="36EBD0C2" w14:textId="77777777">
            <w:pPr>
              <w:pStyle w:val="PwCNormal"/>
              <w:numPr>
                <w:ilvl w:val="0"/>
                <w:numId w:val="0"/>
              </w:numPr>
              <w:rPr>
                <w:rFonts w:asciiTheme="minorHAnsi" w:hAnsiTheme="minorHAnsi" w:cstheme="minorHAnsi"/>
                <w:lang w:val="en-US"/>
              </w:rPr>
            </w:pPr>
          </w:p>
        </w:tc>
        <w:tc>
          <w:tcPr>
            <w:tcW w:w="7253" w:type="dxa"/>
          </w:tcPr>
          <w:p w:rsidRPr="006E33E6" w:rsidR="00F74C6A" w:rsidP="00483F75" w:rsidRDefault="00F74C6A" w14:paraId="0FB47307" w14:textId="77777777">
            <w:pPr>
              <w:pStyle w:val="PwCNormal"/>
              <w:numPr>
                <w:ilvl w:val="0"/>
                <w:numId w:val="0"/>
              </w:numPr>
              <w:spacing w:after="0"/>
              <w:rPr>
                <w:rFonts w:asciiTheme="minorHAnsi" w:hAnsiTheme="minorHAnsi" w:cstheme="minorHAnsi"/>
              </w:rPr>
            </w:pPr>
            <w:r w:rsidRPr="006E33E6">
              <w:rPr>
                <w:rFonts w:asciiTheme="minorHAnsi" w:hAnsiTheme="minorHAnsi" w:cstheme="minorHAnsi"/>
                <w:noProof/>
              </w:rPr>
              <w:drawing>
                <wp:inline distT="0" distB="0" distL="0" distR="0" wp14:anchorId="2213778F" wp14:editId="12DF1DF8">
                  <wp:extent cx="999078" cy="2317898"/>
                  <wp:effectExtent l="0" t="0" r="0" b="6350"/>
                  <wp:docPr id="1368" name="Picture 1368"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Picture 1368" descr="Screen shot demonstrating issue described"/>
                          <pic:cNvPicPr/>
                        </pic:nvPicPr>
                        <pic:blipFill>
                          <a:blip r:embed="rId46">
                            <a:extLst>
                              <a:ext uri="{28A0092B-C50C-407E-A947-70E740481C1C}">
                                <a14:useLocalDpi xmlns:a14="http://schemas.microsoft.com/office/drawing/2010/main" val="0"/>
                              </a:ext>
                            </a:extLst>
                          </a:blip>
                          <a:stretch>
                            <a:fillRect/>
                          </a:stretch>
                        </pic:blipFill>
                        <pic:spPr>
                          <a:xfrm>
                            <a:off x="0" y="0"/>
                            <a:ext cx="999078" cy="2317898"/>
                          </a:xfrm>
                          <a:prstGeom prst="rect">
                            <a:avLst/>
                          </a:prstGeom>
                        </pic:spPr>
                      </pic:pic>
                    </a:graphicData>
                  </a:graphic>
                </wp:inline>
              </w:drawing>
            </w:r>
            <w:r w:rsidRPr="006E33E6">
              <w:rPr>
                <w:rFonts w:asciiTheme="minorHAnsi" w:hAnsiTheme="minorHAnsi" w:cstheme="minorHAnsi"/>
                <w:noProof/>
              </w:rPr>
              <w:drawing>
                <wp:inline distT="0" distB="0" distL="0" distR="0" wp14:anchorId="73E52CBA" wp14:editId="0EE70940">
                  <wp:extent cx="999078" cy="2317898"/>
                  <wp:effectExtent l="0" t="0" r="0" b="6350"/>
                  <wp:docPr id="1369" name="Picture 1369"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 name="Picture 1369" descr="Screen shot demonstrating issue described"/>
                          <pic:cNvPicPr/>
                        </pic:nvPicPr>
                        <pic:blipFill>
                          <a:blip r:embed="rId46">
                            <a:extLst>
                              <a:ext uri="{28A0092B-C50C-407E-A947-70E740481C1C}">
                                <a14:useLocalDpi xmlns:a14="http://schemas.microsoft.com/office/drawing/2010/main" val="0"/>
                              </a:ext>
                            </a:extLst>
                          </a:blip>
                          <a:stretch>
                            <a:fillRect/>
                          </a:stretch>
                        </pic:blipFill>
                        <pic:spPr>
                          <a:xfrm>
                            <a:off x="0" y="0"/>
                            <a:ext cx="999078" cy="2317898"/>
                          </a:xfrm>
                          <a:prstGeom prst="rect">
                            <a:avLst/>
                          </a:prstGeom>
                        </pic:spPr>
                      </pic:pic>
                    </a:graphicData>
                  </a:graphic>
                </wp:inline>
              </w:drawing>
            </w:r>
          </w:p>
        </w:tc>
      </w:tr>
    </w:tbl>
    <w:p w:rsidRPr="006E33E6" w:rsidR="00F74C6A" w:rsidP="00F74C6A" w:rsidRDefault="00F74C6A" w14:paraId="55A5AB07" w14:textId="77777777"/>
    <w:p w:rsidRPr="00F07949" w:rsidR="00F74C6A" w:rsidP="00F74C6A" w:rsidRDefault="00F74C6A" w14:paraId="4F9F180A" w14:textId="77777777">
      <w:r w:rsidRPr="00F07949">
        <w:br w:type="page"/>
      </w:r>
    </w:p>
    <w:tbl>
      <w:tblPr>
        <w:tblStyle w:val="Tables-APBase"/>
        <w:tblW w:w="0" w:type="auto"/>
        <w:tblLook w:val="04A0" w:firstRow="1" w:lastRow="0" w:firstColumn="1" w:lastColumn="0" w:noHBand="0" w:noVBand="1"/>
      </w:tblPr>
      <w:tblGrid>
        <w:gridCol w:w="2777"/>
        <w:gridCol w:w="7078"/>
      </w:tblGrid>
      <w:tr w:rsidRPr="006E33E6" w:rsidR="006E33E6" w:rsidTr="00483F75" w14:paraId="71441F97"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083" w:type="dxa"/>
            <w:gridSpan w:val="2"/>
            <w:shd w:val="clear" w:color="auto" w:fill="DC6900" w:themeFill="accent1"/>
          </w:tcPr>
          <w:p w:rsidRPr="006E33E6" w:rsidR="00F74C6A" w:rsidP="00483F75" w:rsidRDefault="00F74C6A" w14:paraId="256A1213" w14:textId="77777777">
            <w:pPr>
              <w:pStyle w:val="Tableheadings"/>
              <w:rPr>
                <w:rFonts w:asciiTheme="minorHAnsi" w:hAnsiTheme="minorHAnsi" w:cstheme="minorHAnsi"/>
                <w:bCs/>
              </w:rPr>
            </w:pPr>
            <w:r w:rsidRPr="006E33E6">
              <w:rPr>
                <w:rFonts w:asciiTheme="minorHAnsi" w:hAnsiTheme="minorHAnsi" w:cstheme="minorHAnsi"/>
              </w:rPr>
              <w:lastRenderedPageBreak/>
              <w:t>Issue theme 4: Visibility</w:t>
            </w:r>
            <w:r w:rsidRPr="006E33E6">
              <w:rPr>
                <w:rFonts w:asciiTheme="minorHAnsi" w:hAnsiTheme="minorHAnsi" w:cstheme="minorHAnsi"/>
              </w:rPr>
              <w:br/>
            </w:r>
            <w:r w:rsidRPr="006E33E6">
              <w:rPr>
                <w:rFonts w:asciiTheme="minorHAnsi" w:hAnsiTheme="minorHAnsi" w:cstheme="minorHAnsi"/>
              </w:rPr>
              <w:t>Issue 4.1: Inaccessible controls</w:t>
            </w:r>
          </w:p>
        </w:tc>
      </w:tr>
      <w:tr w:rsidRPr="006E33E6" w:rsidR="006E33E6" w:rsidTr="00483F75" w14:paraId="519DDC4E" w14:textId="77777777">
        <w:tc>
          <w:tcPr>
            <w:tcW w:w="10083" w:type="dxa"/>
            <w:gridSpan w:val="2"/>
          </w:tcPr>
          <w:p w:rsidRPr="006E33E6" w:rsidR="00F74C6A" w:rsidP="00483F75" w:rsidRDefault="00F74C6A" w14:paraId="5D7CE900" w14:textId="77777777">
            <w:pPr>
              <w:pStyle w:val="Normal0"/>
              <w:rPr>
                <w:rFonts w:asciiTheme="minorHAnsi" w:hAnsiTheme="minorHAnsi" w:cstheme="minorHAnsi"/>
              </w:rPr>
            </w:pPr>
            <w:r w:rsidRPr="006E33E6">
              <w:rPr>
                <w:rFonts w:asciiTheme="minorHAnsi" w:hAnsiTheme="minorHAnsi" w:cstheme="minorHAnsi"/>
              </w:rPr>
              <w:t>Multiple consumers expressed interest in looking at the settings panel in the prototype to ensure that they would be able to control their shared data. The settings option, however, was not available in the prototype.</w:t>
            </w:r>
          </w:p>
          <w:p w:rsidRPr="006E33E6" w:rsidR="00F74C6A" w:rsidP="00483F75" w:rsidRDefault="00F74C6A" w14:paraId="1C039CAA" w14:textId="77777777">
            <w:pPr>
              <w:pStyle w:val="Normal0"/>
              <w:rPr>
                <w:rFonts w:asciiTheme="minorHAnsi" w:hAnsiTheme="minorHAnsi" w:cstheme="minorHAnsi"/>
              </w:rPr>
            </w:pPr>
            <w:r w:rsidRPr="006E33E6">
              <w:rPr>
                <w:rFonts w:asciiTheme="minorHAnsi" w:hAnsiTheme="minorHAnsi" w:cstheme="minorHAnsi"/>
              </w:rPr>
              <w:t xml:space="preserve">The consumers requested an auto-fill option on the login for the banking pages, which aligns with best practice Accessibility.  </w:t>
            </w:r>
          </w:p>
        </w:tc>
      </w:tr>
      <w:tr w:rsidRPr="006E33E6" w:rsidR="006E33E6" w:rsidTr="00483F75" w14:paraId="23A63216" w14:textId="77777777">
        <w:tc>
          <w:tcPr>
            <w:tcW w:w="2830" w:type="dxa"/>
          </w:tcPr>
          <w:p w:rsidRPr="006E33E6" w:rsidR="00F74C6A" w:rsidP="00483F75" w:rsidRDefault="00F74C6A" w14:paraId="30197F2B" w14:textId="77777777">
            <w:pPr>
              <w:pStyle w:val="ListBullet"/>
              <w:numPr>
                <w:ilvl w:val="0"/>
                <w:numId w:val="0"/>
              </w:numPr>
              <w:rPr>
                <w:rFonts w:asciiTheme="minorHAnsi" w:hAnsiTheme="minorHAnsi" w:cstheme="minorHAnsi"/>
                <w:lang w:val="en-US"/>
              </w:rPr>
            </w:pPr>
            <w:r w:rsidRPr="006E33E6">
              <w:rPr>
                <w:rFonts w:asciiTheme="minorHAnsi" w:hAnsiTheme="minorHAnsi" w:cstheme="minorHAnsi"/>
                <w:b/>
                <w:bCs/>
              </w:rPr>
              <w:t xml:space="preserve">Recommendation: </w:t>
            </w:r>
            <w:r w:rsidRPr="006E33E6">
              <w:rPr>
                <w:rFonts w:asciiTheme="minorHAnsi" w:hAnsiTheme="minorHAnsi" w:cstheme="minorHAnsi"/>
              </w:rPr>
              <w:br/>
            </w:r>
            <w:r w:rsidRPr="006E33E6">
              <w:rPr>
                <w:rFonts w:asciiTheme="minorHAnsi" w:hAnsiTheme="minorHAnsi" w:cstheme="minorHAnsi"/>
                <w:b/>
                <w:lang w:val="en-US"/>
              </w:rPr>
              <w:t xml:space="preserve">Complete Consumer Testing </w:t>
            </w:r>
          </w:p>
        </w:tc>
        <w:tc>
          <w:tcPr>
            <w:tcW w:w="7253" w:type="dxa"/>
          </w:tcPr>
          <w:p w:rsidRPr="006E33E6" w:rsidR="00F74C6A" w:rsidP="00483F75" w:rsidRDefault="00F74C6A" w14:paraId="5D305E80" w14:textId="77777777">
            <w:pPr>
              <w:pStyle w:val="ListBullet"/>
              <w:numPr>
                <w:ilvl w:val="0"/>
                <w:numId w:val="0"/>
              </w:numPr>
              <w:rPr>
                <w:rFonts w:asciiTheme="minorHAnsi" w:hAnsiTheme="minorHAnsi" w:cstheme="minorHAnsi"/>
              </w:rPr>
            </w:pPr>
            <w:r w:rsidRPr="006E33E6">
              <w:rPr>
                <w:rFonts w:asciiTheme="minorHAnsi" w:hAnsiTheme="minorHAnsi" w:cstheme="minorHAnsi"/>
                <w:lang w:val="en-US"/>
              </w:rPr>
              <w:t>For CDR participants implementing the CX Data Standards and guidelines on their products, Consumer Testing for all features and functions should be conducted during Production Verification and Acceptance Testing</w:t>
            </w:r>
          </w:p>
        </w:tc>
      </w:tr>
      <w:tr w:rsidRPr="006E33E6" w:rsidR="006E33E6" w:rsidTr="00483F75" w14:paraId="1DF4C678" w14:textId="77777777">
        <w:tc>
          <w:tcPr>
            <w:tcW w:w="2830" w:type="dxa"/>
          </w:tcPr>
          <w:p w:rsidRPr="006E33E6" w:rsidR="00F74C6A" w:rsidP="00483F75" w:rsidRDefault="00F74C6A" w14:paraId="39DC4AD0" w14:textId="77777777">
            <w:pPr>
              <w:pStyle w:val="ListBullet"/>
              <w:numPr>
                <w:ilvl w:val="0"/>
                <w:numId w:val="0"/>
              </w:numPr>
              <w:rPr>
                <w:rFonts w:asciiTheme="minorHAnsi" w:hAnsiTheme="minorHAnsi" w:cstheme="minorHAnsi"/>
                <w:b/>
                <w:bCs/>
                <w:lang w:val="en-US"/>
              </w:rPr>
            </w:pPr>
            <w:r w:rsidRPr="006E33E6">
              <w:rPr>
                <w:rFonts w:asciiTheme="minorHAnsi" w:hAnsiTheme="minorHAnsi" w:cstheme="minorHAnsi"/>
                <w:b/>
                <w:bCs/>
                <w:lang w:val="en-US"/>
              </w:rPr>
              <w:t>Evidence and examples</w:t>
            </w:r>
          </w:p>
          <w:p w:rsidRPr="006E33E6" w:rsidR="00F74C6A" w:rsidP="00483F75" w:rsidRDefault="00F74C6A" w14:paraId="532ED8B7" w14:textId="77777777">
            <w:pPr>
              <w:pStyle w:val="PwCNormal"/>
              <w:numPr>
                <w:ilvl w:val="0"/>
                <w:numId w:val="0"/>
              </w:numPr>
              <w:rPr>
                <w:rFonts w:asciiTheme="minorHAnsi" w:hAnsiTheme="minorHAnsi" w:cstheme="minorHAnsi"/>
              </w:rPr>
            </w:pPr>
            <w:r w:rsidRPr="006E33E6">
              <w:rPr>
                <w:rFonts w:asciiTheme="minorHAnsi" w:hAnsiTheme="minorHAnsi" w:cstheme="minorHAnsi"/>
                <w:lang w:val="en-US"/>
              </w:rPr>
              <w:t xml:space="preserve">Consumers wanted the option to explore the settings before continuing the process. </w:t>
            </w:r>
          </w:p>
          <w:p w:rsidRPr="006E33E6" w:rsidR="00F74C6A" w:rsidP="00483F75" w:rsidRDefault="00F74C6A" w14:paraId="473CC570" w14:textId="77777777">
            <w:pPr>
              <w:pStyle w:val="ListBullet"/>
              <w:numPr>
                <w:ilvl w:val="0"/>
                <w:numId w:val="0"/>
              </w:numPr>
              <w:rPr>
                <w:rFonts w:asciiTheme="minorHAnsi" w:hAnsiTheme="minorHAnsi" w:cstheme="minorHAnsi"/>
                <w:b/>
                <w:bCs/>
              </w:rPr>
            </w:pPr>
          </w:p>
        </w:tc>
        <w:tc>
          <w:tcPr>
            <w:tcW w:w="7253" w:type="dxa"/>
          </w:tcPr>
          <w:p w:rsidRPr="006E33E6" w:rsidR="00F74C6A" w:rsidP="00483F75" w:rsidRDefault="00F74C6A" w14:paraId="016F352E" w14:textId="77777777">
            <w:pPr>
              <w:pStyle w:val="PwCNormal"/>
              <w:numPr>
                <w:ilvl w:val="0"/>
                <w:numId w:val="0"/>
              </w:numPr>
              <w:spacing w:after="0"/>
              <w:rPr>
                <w:rFonts w:asciiTheme="minorHAnsi" w:hAnsiTheme="minorHAnsi" w:cstheme="minorHAnsi"/>
              </w:rPr>
            </w:pPr>
            <w:r w:rsidRPr="006E33E6">
              <w:rPr>
                <w:rFonts w:asciiTheme="minorHAnsi" w:hAnsiTheme="minorHAnsi" w:cstheme="minorHAnsi"/>
                <w:noProof/>
                <w:shd w:val="clear" w:color="auto" w:fill="E6E6E6"/>
              </w:rPr>
              <w:drawing>
                <wp:inline distT="0" distB="0" distL="0" distR="0" wp14:anchorId="0E668E3B" wp14:editId="2E1B91AC">
                  <wp:extent cx="2633980" cy="1426845"/>
                  <wp:effectExtent l="0" t="0" r="0" b="1905"/>
                  <wp:docPr id="53" name="Picture 53"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 shot demonstrating issue described"/>
                          <pic:cNvPicPr/>
                        </pic:nvPicPr>
                        <pic:blipFill>
                          <a:blip r:embed="rId47">
                            <a:extLst>
                              <a:ext uri="{28A0092B-C50C-407E-A947-70E740481C1C}">
                                <a14:useLocalDpi xmlns:a14="http://schemas.microsoft.com/office/drawing/2010/main" val="0"/>
                              </a:ext>
                            </a:extLst>
                          </a:blip>
                          <a:stretch>
                            <a:fillRect/>
                          </a:stretch>
                        </pic:blipFill>
                        <pic:spPr>
                          <a:xfrm>
                            <a:off x="0" y="0"/>
                            <a:ext cx="2633980" cy="1426845"/>
                          </a:xfrm>
                          <a:prstGeom prst="rect">
                            <a:avLst/>
                          </a:prstGeom>
                        </pic:spPr>
                      </pic:pic>
                    </a:graphicData>
                  </a:graphic>
                </wp:inline>
              </w:drawing>
            </w:r>
          </w:p>
          <w:p w:rsidRPr="006E33E6" w:rsidR="00F74C6A" w:rsidP="00483F75" w:rsidRDefault="00F74C6A" w14:paraId="2257D0DF" w14:textId="77777777">
            <w:pPr>
              <w:pStyle w:val="PwCNormal"/>
              <w:numPr>
                <w:ilvl w:val="0"/>
                <w:numId w:val="0"/>
              </w:numPr>
              <w:spacing w:after="0"/>
              <w:rPr>
                <w:rFonts w:asciiTheme="minorHAnsi" w:hAnsiTheme="minorHAnsi" w:cstheme="minorHAnsi"/>
              </w:rPr>
            </w:pPr>
          </w:p>
        </w:tc>
      </w:tr>
      <w:tr w:rsidRPr="006E33E6" w:rsidR="006E33E6" w:rsidTr="00483F75" w14:paraId="50BBCB09" w14:textId="77777777">
        <w:tc>
          <w:tcPr>
            <w:tcW w:w="2830" w:type="dxa"/>
          </w:tcPr>
          <w:p w:rsidRPr="006E33E6" w:rsidR="00F74C6A" w:rsidP="00483F75" w:rsidRDefault="00F74C6A" w14:paraId="526EA533" w14:textId="77777777">
            <w:pPr>
              <w:pStyle w:val="PwCNormal"/>
              <w:numPr>
                <w:ilvl w:val="0"/>
                <w:numId w:val="0"/>
              </w:numPr>
              <w:rPr>
                <w:rFonts w:asciiTheme="minorHAnsi" w:hAnsiTheme="minorHAnsi" w:cstheme="minorHAnsi"/>
              </w:rPr>
            </w:pPr>
            <w:r w:rsidRPr="006E33E6">
              <w:rPr>
                <w:rFonts w:asciiTheme="minorHAnsi" w:hAnsiTheme="minorHAnsi" w:cstheme="minorHAnsi"/>
                <w:lang w:val="en-US"/>
              </w:rPr>
              <w:t>Need for an auto-fill option.</w:t>
            </w:r>
          </w:p>
          <w:p w:rsidRPr="006E33E6" w:rsidR="00F74C6A" w:rsidP="00483F75" w:rsidRDefault="00F74C6A" w14:paraId="79C46F2D" w14:textId="77777777">
            <w:pPr>
              <w:pStyle w:val="ListBullet"/>
              <w:numPr>
                <w:ilvl w:val="0"/>
                <w:numId w:val="0"/>
              </w:numPr>
              <w:rPr>
                <w:rFonts w:asciiTheme="minorHAnsi" w:hAnsiTheme="minorHAnsi" w:cstheme="minorHAnsi"/>
                <w:b/>
                <w:bCs/>
                <w:lang w:val="en-US"/>
              </w:rPr>
            </w:pPr>
          </w:p>
        </w:tc>
        <w:tc>
          <w:tcPr>
            <w:tcW w:w="7253" w:type="dxa"/>
          </w:tcPr>
          <w:p w:rsidRPr="006E33E6" w:rsidR="00F74C6A" w:rsidP="00483F75" w:rsidRDefault="00F74C6A" w14:paraId="7FEA0B2D" w14:textId="77777777">
            <w:pPr>
              <w:pStyle w:val="PwCNormal"/>
              <w:numPr>
                <w:ilvl w:val="0"/>
                <w:numId w:val="0"/>
              </w:numPr>
              <w:spacing w:after="0"/>
              <w:rPr>
                <w:rFonts w:asciiTheme="minorHAnsi" w:hAnsiTheme="minorHAnsi" w:cstheme="minorHAnsi"/>
              </w:rPr>
            </w:pPr>
            <w:r w:rsidRPr="006E33E6">
              <w:rPr>
                <w:rFonts w:asciiTheme="minorHAnsi" w:hAnsiTheme="minorHAnsi" w:cstheme="minorHAnsi"/>
                <w:noProof/>
              </w:rPr>
              <w:drawing>
                <wp:inline distT="0" distB="0" distL="0" distR="0" wp14:anchorId="1E7DDDED" wp14:editId="78AF872C">
                  <wp:extent cx="2636003" cy="2337351"/>
                  <wp:effectExtent l="0" t="0" r="0" b="6350"/>
                  <wp:docPr id="54" name="Picture 4"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 descr="Screen shot demonstrating issue described"/>
                          <pic:cNvPicPr/>
                        </pic:nvPicPr>
                        <pic:blipFill>
                          <a:blip r:embed="rId48">
                            <a:extLst>
                              <a:ext uri="{FF2B5EF4-FFF2-40B4-BE49-F238E27FC236}">
                                <a16:creationId xmlns:oel="http://schemas.microsoft.com/office/2019/extlst"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D29A0BBB-AB16-5E72-14F2-50916D6F8699}"/>
                              </a:ext>
                            </a:extLst>
                          </a:blip>
                          <a:srcRect b="62095"/>
                          <a:stretch>
                            <a:fillRect/>
                          </a:stretch>
                        </pic:blipFill>
                        <pic:spPr>
                          <a:xfrm>
                            <a:off x="0" y="0"/>
                            <a:ext cx="2636003" cy="2337351"/>
                          </a:xfrm>
                          <a:prstGeom prst="rect">
                            <a:avLst/>
                          </a:prstGeom>
                        </pic:spPr>
                      </pic:pic>
                    </a:graphicData>
                  </a:graphic>
                </wp:inline>
              </w:drawing>
            </w:r>
          </w:p>
        </w:tc>
      </w:tr>
    </w:tbl>
    <w:p w:rsidRPr="006E33E6" w:rsidR="00F74C6A" w:rsidP="00F74C6A" w:rsidRDefault="00F74C6A" w14:paraId="4F6904B1" w14:textId="77777777"/>
    <w:p w:rsidRPr="006E33E6" w:rsidR="00684B95" w:rsidRDefault="00684B95" w14:paraId="0AE5CDC6" w14:textId="115A65A7">
      <w:pPr>
        <w:spacing w:after="160" w:line="259" w:lineRule="auto"/>
        <w:rPr>
          <w:rFonts w:eastAsia="Times New Roman"/>
          <w:snapToGrid w:val="0"/>
          <w:lang w:val="en-AU" w:eastAsia="en-US"/>
        </w:rPr>
      </w:pPr>
      <w:r w:rsidRPr="006E33E6">
        <w:br w:type="page"/>
      </w:r>
    </w:p>
    <w:tbl>
      <w:tblPr>
        <w:tblStyle w:val="Tables-APBase"/>
        <w:tblW w:w="0" w:type="auto"/>
        <w:tblLook w:val="04A0" w:firstRow="1" w:lastRow="0" w:firstColumn="1" w:lastColumn="0" w:noHBand="0" w:noVBand="1"/>
      </w:tblPr>
      <w:tblGrid>
        <w:gridCol w:w="2791"/>
        <w:gridCol w:w="7064"/>
      </w:tblGrid>
      <w:tr w:rsidRPr="006E33E6" w:rsidR="006E33E6" w:rsidTr="002C1B01" w14:paraId="39FF4966"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855" w:type="dxa"/>
            <w:gridSpan w:val="2"/>
            <w:shd w:val="clear" w:color="auto" w:fill="DC6900" w:themeFill="accent1"/>
          </w:tcPr>
          <w:p w:rsidRPr="006E33E6" w:rsidR="00684B95" w:rsidP="00483F75" w:rsidRDefault="00684B95" w14:paraId="7C0A80E2" w14:textId="77777777">
            <w:pPr>
              <w:pStyle w:val="Tableheadings"/>
              <w:rPr>
                <w:rFonts w:asciiTheme="minorHAnsi" w:hAnsiTheme="minorHAnsi" w:cstheme="minorHAnsi"/>
                <w:bCs/>
              </w:rPr>
            </w:pPr>
            <w:r w:rsidRPr="006E33E6">
              <w:rPr>
                <w:rFonts w:asciiTheme="minorHAnsi" w:hAnsiTheme="minorHAnsi" w:cstheme="minorHAnsi"/>
              </w:rPr>
              <w:lastRenderedPageBreak/>
              <w:t>Issue theme 4: Visibility</w:t>
            </w:r>
            <w:r w:rsidRPr="006E33E6">
              <w:rPr>
                <w:rFonts w:asciiTheme="minorHAnsi" w:hAnsiTheme="minorHAnsi" w:cstheme="minorHAnsi"/>
              </w:rPr>
              <w:br/>
            </w:r>
            <w:r w:rsidRPr="006E33E6">
              <w:rPr>
                <w:rFonts w:asciiTheme="minorHAnsi" w:hAnsiTheme="minorHAnsi" w:cstheme="minorHAnsi"/>
              </w:rPr>
              <w:t>Issue 4.2: Imbalance in white space</w:t>
            </w:r>
          </w:p>
        </w:tc>
      </w:tr>
      <w:tr w:rsidRPr="006E33E6" w:rsidR="006E33E6" w:rsidTr="002C1B01" w14:paraId="1798A052" w14:textId="77777777">
        <w:tc>
          <w:tcPr>
            <w:tcW w:w="9855" w:type="dxa"/>
            <w:gridSpan w:val="2"/>
          </w:tcPr>
          <w:p w:rsidRPr="006E33E6" w:rsidR="00684B95" w:rsidP="00483F75" w:rsidRDefault="00684B95" w14:paraId="11AFAC18" w14:textId="77777777">
            <w:pPr>
              <w:pStyle w:val="Normal0"/>
              <w:rPr>
                <w:rFonts w:asciiTheme="minorHAnsi" w:hAnsiTheme="minorHAnsi" w:cstheme="minorHAnsi"/>
              </w:rPr>
            </w:pPr>
            <w:r w:rsidRPr="006E33E6">
              <w:rPr>
                <w:rFonts w:asciiTheme="minorHAnsi" w:hAnsiTheme="minorHAnsi" w:cstheme="minorHAnsi"/>
              </w:rPr>
              <w:t xml:space="preserve">When testing on mobile and desktop, the consumers commented on the imbalance of the use of white space in the prototype. </w:t>
            </w:r>
          </w:p>
          <w:p w:rsidRPr="006E33E6" w:rsidR="00684B95" w:rsidP="00483F75" w:rsidRDefault="00684B95" w14:paraId="1B69C6A0" w14:textId="77777777">
            <w:pPr>
              <w:pStyle w:val="Normal0"/>
              <w:rPr>
                <w:rFonts w:asciiTheme="minorHAnsi" w:hAnsiTheme="minorHAnsi" w:cstheme="minorHAnsi"/>
              </w:rPr>
            </w:pPr>
            <w:r w:rsidRPr="006E33E6">
              <w:rPr>
                <w:rFonts w:asciiTheme="minorHAnsi" w:hAnsiTheme="minorHAnsi" w:cstheme="minorHAnsi"/>
              </w:rPr>
              <w:t xml:space="preserve">Consequently, the text and images need to complement the white space on the page. Additionally, it would be useful to combine or split pages up, as necessary. </w:t>
            </w:r>
          </w:p>
          <w:p w:rsidRPr="006E33E6" w:rsidR="00684B95" w:rsidP="00483F75" w:rsidRDefault="00684B95" w14:paraId="43F59A8D" w14:textId="77777777">
            <w:pPr>
              <w:pStyle w:val="Normal0"/>
              <w:rPr>
                <w:rFonts w:asciiTheme="minorHAnsi" w:hAnsiTheme="minorHAnsi" w:cstheme="minorHAnsi"/>
              </w:rPr>
            </w:pPr>
            <w:r w:rsidRPr="006E33E6">
              <w:rPr>
                <w:rFonts w:asciiTheme="minorHAnsi" w:hAnsiTheme="minorHAnsi" w:cstheme="minorHAnsi"/>
              </w:rPr>
              <w:t>A consumer with a cognitive disability described the expanded accordion menu as "a wall of text," on the mobile device, but “easy to read” on desktop.</w:t>
            </w:r>
          </w:p>
          <w:p w:rsidRPr="006E33E6" w:rsidR="00684B95" w:rsidP="00483F75" w:rsidRDefault="00684B95" w14:paraId="4036F66E" w14:textId="77777777">
            <w:pPr>
              <w:pStyle w:val="Normal0"/>
              <w:rPr>
                <w:rFonts w:asciiTheme="minorHAnsi" w:hAnsiTheme="minorHAnsi" w:cstheme="minorHAnsi"/>
              </w:rPr>
            </w:pPr>
            <w:r w:rsidRPr="006E33E6">
              <w:rPr>
                <w:rFonts w:asciiTheme="minorHAnsi" w:hAnsiTheme="minorHAnsi" w:cstheme="minorHAnsi"/>
              </w:rPr>
              <w:t>Consumers with physical mobility disabilities identified that scrolling can be a difficult task.</w:t>
            </w:r>
          </w:p>
        </w:tc>
      </w:tr>
      <w:tr w:rsidRPr="006E33E6" w:rsidR="006E33E6" w:rsidTr="002C1B01" w14:paraId="143F021E" w14:textId="77777777">
        <w:tc>
          <w:tcPr>
            <w:tcW w:w="2791" w:type="dxa"/>
          </w:tcPr>
          <w:p w:rsidRPr="006E33E6" w:rsidR="00684B95" w:rsidP="00483F75" w:rsidRDefault="00684B95" w14:paraId="554B32C5" w14:textId="77777777">
            <w:pPr>
              <w:pStyle w:val="ListBullet"/>
              <w:numPr>
                <w:ilvl w:val="0"/>
                <w:numId w:val="0"/>
              </w:numPr>
              <w:rPr>
                <w:rFonts w:asciiTheme="minorHAnsi" w:hAnsiTheme="minorHAnsi" w:cstheme="minorHAnsi"/>
                <w:lang w:val="en-US"/>
              </w:rPr>
            </w:pPr>
            <w:r w:rsidRPr="006E33E6">
              <w:rPr>
                <w:rFonts w:asciiTheme="minorHAnsi" w:hAnsiTheme="minorHAnsi" w:cstheme="minorHAnsi"/>
                <w:b/>
                <w:bCs/>
              </w:rPr>
              <w:t xml:space="preserve">Recommendation: </w:t>
            </w:r>
            <w:r w:rsidRPr="006E33E6">
              <w:rPr>
                <w:rFonts w:asciiTheme="minorHAnsi" w:hAnsiTheme="minorHAnsi" w:cstheme="minorHAnsi"/>
              </w:rPr>
              <w:br/>
            </w:r>
            <w:r w:rsidRPr="006E33E6">
              <w:rPr>
                <w:rFonts w:asciiTheme="minorHAnsi" w:hAnsiTheme="minorHAnsi" w:cstheme="minorHAnsi"/>
                <w:b/>
                <w:bCs/>
              </w:rPr>
              <w:t>For future iterations of the prototype, bring balance in white space use. Where appropriate, consider balance in white space in wireframes and the design library.</w:t>
            </w:r>
          </w:p>
        </w:tc>
        <w:tc>
          <w:tcPr>
            <w:tcW w:w="7064" w:type="dxa"/>
          </w:tcPr>
          <w:p w:rsidRPr="006E33E6" w:rsidR="00684B95" w:rsidP="00483F75" w:rsidRDefault="00684B95" w14:paraId="40E78642" w14:textId="77777777">
            <w:pPr>
              <w:pStyle w:val="ListBullet"/>
              <w:rPr>
                <w:rFonts w:asciiTheme="minorHAnsi" w:hAnsiTheme="minorHAnsi" w:cstheme="minorHAnsi"/>
                <w:lang w:val="en-US"/>
              </w:rPr>
            </w:pPr>
            <w:r w:rsidRPr="006E33E6">
              <w:rPr>
                <w:rFonts w:asciiTheme="minorHAnsi" w:hAnsiTheme="minorHAnsi" w:cstheme="minorHAnsi"/>
                <w:lang w:val="en-US"/>
              </w:rPr>
              <w:t xml:space="preserve">Bring balance in the use of positive and negative white space in the prototype </w:t>
            </w:r>
            <w:proofErr w:type="gramStart"/>
            <w:r w:rsidRPr="006E33E6">
              <w:rPr>
                <w:rFonts w:asciiTheme="minorHAnsi" w:hAnsiTheme="minorHAnsi" w:cstheme="minorHAnsi"/>
                <w:lang w:val="en-US"/>
              </w:rPr>
              <w:t>in order to</w:t>
            </w:r>
            <w:proofErr w:type="gramEnd"/>
            <w:r w:rsidRPr="006E33E6">
              <w:rPr>
                <w:rFonts w:asciiTheme="minorHAnsi" w:hAnsiTheme="minorHAnsi" w:cstheme="minorHAnsi"/>
                <w:lang w:val="en-US"/>
              </w:rPr>
              <w:t xml:space="preserve"> present a clear hierarchy and visibility of content.</w:t>
            </w:r>
          </w:p>
          <w:p w:rsidRPr="006E33E6" w:rsidR="00684B95" w:rsidP="00483F75" w:rsidRDefault="00684B95" w14:paraId="0D1671E3" w14:textId="77777777">
            <w:pPr>
              <w:pStyle w:val="ListBullet"/>
              <w:rPr>
                <w:rFonts w:asciiTheme="minorHAnsi" w:hAnsiTheme="minorHAnsi" w:cstheme="minorHAnsi"/>
                <w:lang w:val="en-US"/>
              </w:rPr>
            </w:pPr>
            <w:r w:rsidRPr="006E33E6">
              <w:rPr>
                <w:rFonts w:asciiTheme="minorHAnsi" w:hAnsiTheme="minorHAnsi" w:cstheme="minorHAnsi"/>
                <w:lang w:val="en-US"/>
              </w:rPr>
              <w:t xml:space="preserve">Review content to ensure pages aren’t unnecessarily complex or short. Consider employing pop-up solutions for extra information instead of new pages. </w:t>
            </w:r>
          </w:p>
          <w:p w:rsidRPr="006E33E6" w:rsidR="00684B95" w:rsidP="00483F75" w:rsidRDefault="00684B95" w14:paraId="311BD820" w14:textId="77777777">
            <w:pPr>
              <w:pStyle w:val="ListBullet"/>
              <w:rPr>
                <w:rFonts w:asciiTheme="minorHAnsi" w:hAnsiTheme="minorHAnsi" w:cstheme="minorHAnsi"/>
                <w:lang w:val="en-US"/>
              </w:rPr>
            </w:pPr>
            <w:r w:rsidRPr="006E33E6">
              <w:rPr>
                <w:rFonts w:asciiTheme="minorHAnsi" w:hAnsiTheme="minorHAnsi" w:cstheme="minorHAnsi"/>
                <w:lang w:val="en-US"/>
              </w:rPr>
              <w:t>Ensure the product is responsive to the consumer’s personal settings such as text size, contrast etc.</w:t>
            </w:r>
          </w:p>
        </w:tc>
      </w:tr>
      <w:tr w:rsidRPr="006E33E6" w:rsidR="006E33E6" w:rsidTr="002C1B01" w14:paraId="142AA07E" w14:textId="77777777">
        <w:tc>
          <w:tcPr>
            <w:tcW w:w="2791" w:type="dxa"/>
          </w:tcPr>
          <w:p w:rsidRPr="006E33E6" w:rsidR="00684B95" w:rsidP="00483F75" w:rsidRDefault="00684B95" w14:paraId="5040FF1B" w14:textId="5B2A26E6">
            <w:pPr>
              <w:pStyle w:val="ListBullet"/>
              <w:numPr>
                <w:ilvl w:val="0"/>
                <w:numId w:val="0"/>
              </w:numPr>
              <w:rPr>
                <w:rFonts w:asciiTheme="minorHAnsi" w:hAnsiTheme="minorHAnsi" w:cstheme="minorHAnsi"/>
                <w:b/>
                <w:bCs/>
                <w:lang w:val="en-US"/>
              </w:rPr>
            </w:pPr>
            <w:r w:rsidRPr="006E33E6">
              <w:rPr>
                <w:rFonts w:asciiTheme="minorHAnsi" w:hAnsiTheme="minorHAnsi" w:cstheme="minorHAnsi"/>
                <w:b/>
                <w:bCs/>
                <w:lang w:val="en-US"/>
              </w:rPr>
              <w:t>Evidence and examples</w:t>
            </w:r>
          </w:p>
          <w:p w:rsidRPr="006E33E6" w:rsidR="00684B95" w:rsidP="00483F75" w:rsidRDefault="00684B95" w14:paraId="68879037" w14:textId="77777777">
            <w:pPr>
              <w:pStyle w:val="PwCNormal"/>
              <w:numPr>
                <w:ilvl w:val="0"/>
                <w:numId w:val="0"/>
              </w:numPr>
              <w:rPr>
                <w:rFonts w:asciiTheme="minorHAnsi" w:hAnsiTheme="minorHAnsi" w:cstheme="minorHAnsi"/>
              </w:rPr>
            </w:pPr>
            <w:r w:rsidRPr="006E33E6">
              <w:rPr>
                <w:rFonts w:asciiTheme="minorHAnsi" w:hAnsiTheme="minorHAnsi" w:cstheme="minorHAnsi"/>
                <w:lang w:val="en-US"/>
              </w:rPr>
              <w:t>Large amounts of white space can lead to disconnection and are barriers in usability for some consumers who use assistive technology such as Zoom Text.</w:t>
            </w:r>
          </w:p>
          <w:p w:rsidRPr="006E33E6" w:rsidR="00684B95" w:rsidP="00483F75" w:rsidRDefault="00684B95" w14:paraId="33B46CEA" w14:textId="77777777">
            <w:pPr>
              <w:pStyle w:val="ListBullet"/>
              <w:numPr>
                <w:ilvl w:val="0"/>
                <w:numId w:val="0"/>
              </w:numPr>
              <w:rPr>
                <w:rFonts w:asciiTheme="minorHAnsi" w:hAnsiTheme="minorHAnsi" w:cstheme="minorHAnsi"/>
                <w:b/>
                <w:bCs/>
              </w:rPr>
            </w:pPr>
          </w:p>
        </w:tc>
        <w:tc>
          <w:tcPr>
            <w:tcW w:w="7064" w:type="dxa"/>
          </w:tcPr>
          <w:p w:rsidRPr="006E33E6" w:rsidR="00684B95" w:rsidP="00483F75" w:rsidRDefault="00684B95" w14:paraId="2BC32C2B" w14:textId="77777777">
            <w:pPr>
              <w:pStyle w:val="PwCNormal"/>
              <w:numPr>
                <w:ilvl w:val="0"/>
                <w:numId w:val="0"/>
              </w:numPr>
              <w:spacing w:after="0"/>
              <w:rPr>
                <w:rFonts w:asciiTheme="minorHAnsi" w:hAnsiTheme="minorHAnsi" w:cstheme="minorHAnsi"/>
              </w:rPr>
            </w:pPr>
            <w:r w:rsidRPr="006E33E6">
              <w:rPr>
                <w:rFonts w:asciiTheme="minorHAnsi" w:hAnsiTheme="minorHAnsi" w:cstheme="minorHAnsi"/>
                <w:noProof/>
              </w:rPr>
              <w:drawing>
                <wp:inline distT="0" distB="0" distL="0" distR="0" wp14:anchorId="52444781" wp14:editId="70A770EB">
                  <wp:extent cx="2316480" cy="2286000"/>
                  <wp:effectExtent l="0" t="0" r="7620" b="0"/>
                  <wp:docPr id="55" name="Picture 55"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creen shot demonstrating issue described"/>
                          <pic:cNvPicPr/>
                        </pic:nvPicPr>
                        <pic:blipFill>
                          <a:blip r:embed="rId49">
                            <a:extLst>
                              <a:ext uri="{28A0092B-C50C-407E-A947-70E740481C1C}">
                                <a14:useLocalDpi xmlns:a14="http://schemas.microsoft.com/office/drawing/2010/main" val="0"/>
                              </a:ext>
                            </a:extLst>
                          </a:blip>
                          <a:stretch>
                            <a:fillRect/>
                          </a:stretch>
                        </pic:blipFill>
                        <pic:spPr>
                          <a:xfrm>
                            <a:off x="0" y="0"/>
                            <a:ext cx="2316480" cy="2286000"/>
                          </a:xfrm>
                          <a:prstGeom prst="rect">
                            <a:avLst/>
                          </a:prstGeom>
                        </pic:spPr>
                      </pic:pic>
                    </a:graphicData>
                  </a:graphic>
                </wp:inline>
              </w:drawing>
            </w:r>
          </w:p>
          <w:p w:rsidRPr="006E33E6" w:rsidR="00684B95" w:rsidP="00483F75" w:rsidRDefault="00684B95" w14:paraId="79823B52" w14:textId="77777777">
            <w:pPr>
              <w:pStyle w:val="PwCNormal"/>
              <w:numPr>
                <w:ilvl w:val="0"/>
                <w:numId w:val="0"/>
              </w:numPr>
              <w:spacing w:after="0"/>
              <w:rPr>
                <w:rFonts w:asciiTheme="minorHAnsi" w:hAnsiTheme="minorHAnsi" w:cstheme="minorHAnsi"/>
              </w:rPr>
            </w:pPr>
          </w:p>
        </w:tc>
      </w:tr>
      <w:tr w:rsidRPr="006E33E6" w:rsidR="006E33E6" w:rsidTr="002C1B01" w14:paraId="3EF06E67" w14:textId="77777777">
        <w:tc>
          <w:tcPr>
            <w:tcW w:w="2791" w:type="dxa"/>
          </w:tcPr>
          <w:p w:rsidRPr="006E33E6" w:rsidR="00684B95" w:rsidP="00483F75" w:rsidRDefault="00684B95" w14:paraId="425BC43C" w14:textId="77777777">
            <w:pPr>
              <w:pStyle w:val="PwCNormal"/>
              <w:numPr>
                <w:ilvl w:val="0"/>
                <w:numId w:val="0"/>
              </w:numPr>
              <w:rPr>
                <w:rFonts w:asciiTheme="minorHAnsi" w:hAnsiTheme="minorHAnsi" w:cstheme="minorHAnsi"/>
                <w:lang w:val="en-US"/>
              </w:rPr>
            </w:pPr>
            <w:r w:rsidRPr="006E33E6">
              <w:rPr>
                <w:rFonts w:asciiTheme="minorHAnsi" w:hAnsiTheme="minorHAnsi" w:cstheme="minorHAnsi"/>
                <w:lang w:val="en-US"/>
              </w:rPr>
              <w:t xml:space="preserve">When information is expanded on this page, it becomes a “wall of text” and is hard to navigate. </w:t>
            </w:r>
          </w:p>
          <w:p w:rsidRPr="006E33E6" w:rsidR="00684B95" w:rsidP="00483F75" w:rsidRDefault="00684B95" w14:paraId="5584100E" w14:textId="77777777">
            <w:pPr>
              <w:pStyle w:val="PwCNormal"/>
              <w:numPr>
                <w:ilvl w:val="0"/>
                <w:numId w:val="0"/>
              </w:numPr>
              <w:rPr>
                <w:rFonts w:asciiTheme="minorHAnsi" w:hAnsiTheme="minorHAnsi" w:cstheme="minorHAnsi"/>
                <w:b/>
                <w:bCs/>
                <w:lang w:val="en-US"/>
              </w:rPr>
            </w:pPr>
          </w:p>
        </w:tc>
        <w:tc>
          <w:tcPr>
            <w:tcW w:w="7064" w:type="dxa"/>
          </w:tcPr>
          <w:p w:rsidRPr="006E33E6" w:rsidR="00B8780D" w:rsidP="00483F75" w:rsidRDefault="00B8780D" w14:paraId="790A93BE" w14:textId="77777777">
            <w:pPr>
              <w:pStyle w:val="PwCNormal"/>
              <w:numPr>
                <w:ilvl w:val="0"/>
                <w:numId w:val="0"/>
              </w:numPr>
              <w:spacing w:after="0"/>
              <w:rPr>
                <w:rFonts w:asciiTheme="minorHAnsi" w:hAnsiTheme="minorHAnsi" w:cstheme="minorHAnsi"/>
              </w:rPr>
            </w:pPr>
          </w:p>
          <w:p w:rsidRPr="006E33E6" w:rsidR="00B8780D" w:rsidP="00483F75" w:rsidRDefault="00B8780D" w14:paraId="238F7E3C" w14:textId="77777777">
            <w:pPr>
              <w:pStyle w:val="PwCNormal"/>
              <w:numPr>
                <w:ilvl w:val="0"/>
                <w:numId w:val="0"/>
              </w:numPr>
              <w:spacing w:after="0"/>
              <w:rPr>
                <w:rFonts w:asciiTheme="minorHAnsi" w:hAnsiTheme="minorHAnsi" w:cstheme="minorHAnsi"/>
              </w:rPr>
            </w:pPr>
          </w:p>
          <w:p w:rsidRPr="006E33E6" w:rsidR="00B8780D" w:rsidP="00483F75" w:rsidRDefault="00B8780D" w14:paraId="0D5AEBA4" w14:textId="77777777">
            <w:pPr>
              <w:pStyle w:val="PwCNormal"/>
              <w:numPr>
                <w:ilvl w:val="0"/>
                <w:numId w:val="0"/>
              </w:numPr>
              <w:spacing w:after="0"/>
              <w:rPr>
                <w:rFonts w:asciiTheme="minorHAnsi" w:hAnsiTheme="minorHAnsi" w:cstheme="minorHAnsi"/>
              </w:rPr>
            </w:pPr>
          </w:p>
          <w:p w:rsidRPr="006E33E6" w:rsidR="00B8780D" w:rsidP="00483F75" w:rsidRDefault="00B8780D" w14:paraId="719D91E7" w14:textId="77777777">
            <w:pPr>
              <w:pStyle w:val="PwCNormal"/>
              <w:numPr>
                <w:ilvl w:val="0"/>
                <w:numId w:val="0"/>
              </w:numPr>
              <w:spacing w:after="0"/>
              <w:rPr>
                <w:rFonts w:asciiTheme="minorHAnsi" w:hAnsiTheme="minorHAnsi" w:cstheme="minorHAnsi"/>
              </w:rPr>
            </w:pPr>
          </w:p>
          <w:p w:rsidRPr="006E33E6" w:rsidR="00B8780D" w:rsidP="00483F75" w:rsidRDefault="00B8780D" w14:paraId="408AE491" w14:textId="77777777">
            <w:pPr>
              <w:pStyle w:val="PwCNormal"/>
              <w:numPr>
                <w:ilvl w:val="0"/>
                <w:numId w:val="0"/>
              </w:numPr>
              <w:spacing w:after="0"/>
              <w:rPr>
                <w:rFonts w:asciiTheme="minorHAnsi" w:hAnsiTheme="minorHAnsi" w:cstheme="minorHAnsi"/>
              </w:rPr>
            </w:pPr>
          </w:p>
          <w:p w:rsidRPr="006E33E6" w:rsidR="00B8780D" w:rsidP="00483F75" w:rsidRDefault="00B8780D" w14:paraId="6B208C19" w14:textId="77777777">
            <w:pPr>
              <w:pStyle w:val="PwCNormal"/>
              <w:numPr>
                <w:ilvl w:val="0"/>
                <w:numId w:val="0"/>
              </w:numPr>
              <w:spacing w:after="0"/>
              <w:rPr>
                <w:rFonts w:asciiTheme="minorHAnsi" w:hAnsiTheme="minorHAnsi" w:cstheme="minorHAnsi"/>
              </w:rPr>
            </w:pPr>
          </w:p>
          <w:p w:rsidRPr="006E33E6" w:rsidR="00B8780D" w:rsidP="00483F75" w:rsidRDefault="00B8780D" w14:paraId="02A805C2" w14:textId="77777777">
            <w:pPr>
              <w:pStyle w:val="PwCNormal"/>
              <w:numPr>
                <w:ilvl w:val="0"/>
                <w:numId w:val="0"/>
              </w:numPr>
              <w:spacing w:after="0"/>
              <w:rPr>
                <w:rFonts w:asciiTheme="minorHAnsi" w:hAnsiTheme="minorHAnsi" w:cstheme="minorHAnsi"/>
              </w:rPr>
            </w:pPr>
          </w:p>
          <w:p w:rsidRPr="006E33E6" w:rsidR="00B8780D" w:rsidP="00483F75" w:rsidRDefault="00B8780D" w14:paraId="099D7BCB" w14:textId="77777777">
            <w:pPr>
              <w:pStyle w:val="PwCNormal"/>
              <w:numPr>
                <w:ilvl w:val="0"/>
                <w:numId w:val="0"/>
              </w:numPr>
              <w:spacing w:after="0"/>
              <w:rPr>
                <w:rFonts w:asciiTheme="minorHAnsi" w:hAnsiTheme="minorHAnsi" w:cstheme="minorHAnsi"/>
              </w:rPr>
            </w:pPr>
          </w:p>
          <w:p w:rsidRPr="006E33E6" w:rsidR="00B8780D" w:rsidP="00483F75" w:rsidRDefault="00B8780D" w14:paraId="74D10FC5" w14:textId="77777777">
            <w:pPr>
              <w:pStyle w:val="PwCNormal"/>
              <w:numPr>
                <w:ilvl w:val="0"/>
                <w:numId w:val="0"/>
              </w:numPr>
              <w:spacing w:after="0"/>
              <w:rPr>
                <w:rFonts w:asciiTheme="minorHAnsi" w:hAnsiTheme="minorHAnsi" w:cstheme="minorHAnsi"/>
              </w:rPr>
            </w:pPr>
          </w:p>
          <w:p w:rsidRPr="006E33E6" w:rsidR="00B8780D" w:rsidP="00483F75" w:rsidRDefault="00B8780D" w14:paraId="08E90275" w14:textId="77777777">
            <w:pPr>
              <w:pStyle w:val="PwCNormal"/>
              <w:numPr>
                <w:ilvl w:val="0"/>
                <w:numId w:val="0"/>
              </w:numPr>
              <w:spacing w:after="0"/>
              <w:rPr>
                <w:rFonts w:asciiTheme="minorHAnsi" w:hAnsiTheme="minorHAnsi" w:cstheme="minorHAnsi"/>
              </w:rPr>
            </w:pPr>
          </w:p>
          <w:p w:rsidRPr="006E33E6" w:rsidR="00684B95" w:rsidP="00483F75" w:rsidRDefault="00684B95" w14:paraId="4668D642" w14:textId="1356EDAF">
            <w:pPr>
              <w:pStyle w:val="PwCNormal"/>
              <w:numPr>
                <w:ilvl w:val="0"/>
                <w:numId w:val="0"/>
              </w:numPr>
              <w:spacing w:after="0"/>
              <w:rPr>
                <w:rFonts w:asciiTheme="minorHAnsi" w:hAnsiTheme="minorHAnsi" w:cstheme="minorHAnsi"/>
              </w:rPr>
            </w:pPr>
            <w:r w:rsidRPr="006E33E6">
              <w:rPr>
                <w:rFonts w:asciiTheme="minorHAnsi" w:hAnsiTheme="minorHAnsi" w:cstheme="minorHAnsi"/>
                <w:noProof/>
                <w:shd w:val="clear" w:color="auto" w:fill="E6E6E6"/>
              </w:rPr>
              <w:lastRenderedPageBreak/>
              <w:drawing>
                <wp:inline distT="0" distB="0" distL="0" distR="0" wp14:anchorId="36E1127C" wp14:editId="44F7C426">
                  <wp:extent cx="1209584" cy="2630170"/>
                  <wp:effectExtent l="0" t="0" r="0" b="0"/>
                  <wp:docPr id="56" name="Picture 56"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 shot demonstrating issue described"/>
                          <pic:cNvPicPr/>
                        </pic:nvPicPr>
                        <pic:blipFill>
                          <a:blip r:embed="rId50">
                            <a:extLst>
                              <a:ext uri="{28A0092B-C50C-407E-A947-70E740481C1C}">
                                <a14:useLocalDpi xmlns:a14="http://schemas.microsoft.com/office/drawing/2010/main" val="0"/>
                              </a:ext>
                            </a:extLst>
                          </a:blip>
                          <a:stretch>
                            <a:fillRect/>
                          </a:stretch>
                        </pic:blipFill>
                        <pic:spPr>
                          <a:xfrm>
                            <a:off x="0" y="0"/>
                            <a:ext cx="1209584" cy="2630170"/>
                          </a:xfrm>
                          <a:prstGeom prst="rect">
                            <a:avLst/>
                          </a:prstGeom>
                        </pic:spPr>
                      </pic:pic>
                    </a:graphicData>
                  </a:graphic>
                </wp:inline>
              </w:drawing>
            </w:r>
          </w:p>
        </w:tc>
      </w:tr>
    </w:tbl>
    <w:p w:rsidRPr="006E33E6" w:rsidR="00684B95" w:rsidP="00684B95" w:rsidRDefault="00684B95" w14:paraId="28C849C0" w14:textId="77777777"/>
    <w:tbl>
      <w:tblPr>
        <w:tblStyle w:val="Tables-APBase"/>
        <w:tblW w:w="0" w:type="auto"/>
        <w:tblLook w:val="04A0" w:firstRow="1" w:lastRow="0" w:firstColumn="1" w:lastColumn="0" w:noHBand="0" w:noVBand="1"/>
      </w:tblPr>
      <w:tblGrid>
        <w:gridCol w:w="2777"/>
        <w:gridCol w:w="7078"/>
      </w:tblGrid>
      <w:tr w:rsidRPr="006E33E6" w:rsidR="006E33E6" w:rsidTr="002C1B01" w14:paraId="7C81DA62"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083" w:type="dxa"/>
            <w:gridSpan w:val="2"/>
            <w:shd w:val="clear" w:color="auto" w:fill="DC6900" w:themeFill="accent1"/>
          </w:tcPr>
          <w:p w:rsidRPr="006E33E6" w:rsidR="00684B95" w:rsidP="00483F75" w:rsidRDefault="00684B95" w14:paraId="26C2068B" w14:textId="77777777">
            <w:pPr>
              <w:pStyle w:val="Tableheadings"/>
              <w:rPr>
                <w:rFonts w:asciiTheme="minorHAnsi" w:hAnsiTheme="minorHAnsi" w:cstheme="minorHAnsi"/>
                <w:bCs/>
              </w:rPr>
            </w:pPr>
            <w:r w:rsidRPr="006E33E6">
              <w:rPr>
                <w:rFonts w:asciiTheme="minorHAnsi" w:hAnsiTheme="minorHAnsi" w:cstheme="minorHAnsi"/>
              </w:rPr>
              <w:t>Issue theme 4: Visibility</w:t>
            </w:r>
            <w:r w:rsidRPr="006E33E6">
              <w:rPr>
                <w:rFonts w:asciiTheme="minorHAnsi" w:hAnsiTheme="minorHAnsi" w:cstheme="minorHAnsi"/>
              </w:rPr>
              <w:br/>
            </w:r>
            <w:r w:rsidRPr="006E33E6">
              <w:rPr>
                <w:rFonts w:asciiTheme="minorHAnsi" w:hAnsiTheme="minorHAnsi" w:cstheme="minorHAnsi"/>
              </w:rPr>
              <w:t>Issue 4.3: No progress outline</w:t>
            </w:r>
          </w:p>
        </w:tc>
      </w:tr>
      <w:tr w:rsidRPr="006E33E6" w:rsidR="006E33E6" w:rsidTr="002C1B01" w14:paraId="05FB9403" w14:textId="77777777">
        <w:tc>
          <w:tcPr>
            <w:tcW w:w="10083" w:type="dxa"/>
            <w:gridSpan w:val="2"/>
          </w:tcPr>
          <w:p w:rsidRPr="006E33E6" w:rsidR="00684B95" w:rsidP="00483F75" w:rsidRDefault="00684B95" w14:paraId="1CA3E447" w14:textId="77777777">
            <w:pPr>
              <w:pStyle w:val="Normal0"/>
              <w:rPr>
                <w:rFonts w:asciiTheme="minorHAnsi" w:hAnsiTheme="minorHAnsi" w:cstheme="minorHAnsi"/>
              </w:rPr>
            </w:pPr>
            <w:r w:rsidRPr="006E33E6">
              <w:rPr>
                <w:rFonts w:asciiTheme="minorHAnsi" w:hAnsiTheme="minorHAnsi" w:cstheme="minorHAnsi"/>
              </w:rPr>
              <w:t>There is currently no progress bar throughout the prototype. All consumers expressed a need for such indicator as it would help them feel in control.</w:t>
            </w:r>
          </w:p>
          <w:p w:rsidRPr="006E33E6" w:rsidR="00684B95" w:rsidP="00483F75" w:rsidRDefault="00684B95" w14:paraId="5679493D" w14:textId="77777777">
            <w:pPr>
              <w:pStyle w:val="Normal0"/>
              <w:rPr>
                <w:rFonts w:asciiTheme="minorHAnsi" w:hAnsiTheme="minorHAnsi" w:cstheme="minorHAnsi"/>
              </w:rPr>
            </w:pPr>
            <w:r w:rsidRPr="006E33E6">
              <w:rPr>
                <w:rFonts w:asciiTheme="minorHAnsi" w:hAnsiTheme="minorHAnsi" w:cstheme="minorHAnsi"/>
              </w:rPr>
              <w:t>When asked, consumers answered they were unaware how long the process would be, and where in the process they were.</w:t>
            </w:r>
          </w:p>
        </w:tc>
      </w:tr>
      <w:tr w:rsidRPr="006E33E6" w:rsidR="006E33E6" w:rsidTr="002C1B01" w14:paraId="5819E8A1" w14:textId="77777777">
        <w:tc>
          <w:tcPr>
            <w:tcW w:w="2830" w:type="dxa"/>
          </w:tcPr>
          <w:p w:rsidRPr="006E33E6" w:rsidR="00684B95" w:rsidP="00483F75" w:rsidRDefault="00684B95" w14:paraId="1F69EB51" w14:textId="77777777">
            <w:pPr>
              <w:pStyle w:val="ListBullet"/>
              <w:numPr>
                <w:ilvl w:val="0"/>
                <w:numId w:val="0"/>
              </w:numPr>
              <w:rPr>
                <w:rFonts w:asciiTheme="minorHAnsi" w:hAnsiTheme="minorHAnsi" w:cstheme="minorHAnsi"/>
                <w:lang w:val="en-US"/>
              </w:rPr>
            </w:pPr>
            <w:r w:rsidRPr="006E33E6">
              <w:rPr>
                <w:rFonts w:asciiTheme="minorHAnsi" w:hAnsiTheme="minorHAnsi" w:cstheme="minorHAnsi"/>
                <w:b/>
                <w:bCs/>
              </w:rPr>
              <w:t xml:space="preserve">Recommendation: </w:t>
            </w:r>
            <w:r w:rsidRPr="006E33E6">
              <w:rPr>
                <w:rFonts w:asciiTheme="minorHAnsi" w:hAnsiTheme="minorHAnsi" w:cstheme="minorHAnsi"/>
              </w:rPr>
              <w:br/>
            </w:r>
            <w:r w:rsidRPr="006E33E6">
              <w:rPr>
                <w:rFonts w:asciiTheme="minorHAnsi" w:hAnsiTheme="minorHAnsi" w:cstheme="minorHAnsi"/>
                <w:b/>
                <w:lang w:val="en-US"/>
              </w:rPr>
              <w:t>Add a progress indicator</w:t>
            </w:r>
          </w:p>
        </w:tc>
        <w:tc>
          <w:tcPr>
            <w:tcW w:w="7253" w:type="dxa"/>
          </w:tcPr>
          <w:p w:rsidRPr="006E33E6" w:rsidR="00684B95" w:rsidP="00483F75" w:rsidRDefault="00684B95" w14:paraId="3D754D0E" w14:textId="77777777">
            <w:pPr>
              <w:pStyle w:val="ListBullet"/>
              <w:numPr>
                <w:ilvl w:val="0"/>
                <w:numId w:val="0"/>
              </w:numPr>
              <w:rPr>
                <w:rFonts w:asciiTheme="minorHAnsi" w:hAnsiTheme="minorHAnsi" w:cstheme="minorHAnsi"/>
              </w:rPr>
            </w:pPr>
            <w:r w:rsidRPr="006E33E6">
              <w:rPr>
                <w:rFonts w:asciiTheme="minorHAnsi" w:hAnsiTheme="minorHAnsi" w:cstheme="minorHAnsi"/>
                <w:lang w:val="en-US"/>
              </w:rPr>
              <w:t>Improve visibility of steps with indication of steps completed out of total steps and/or progress bar.</w:t>
            </w:r>
          </w:p>
        </w:tc>
      </w:tr>
      <w:tr w:rsidRPr="006E33E6" w:rsidR="006E33E6" w:rsidTr="002C1B01" w14:paraId="7B66556B" w14:textId="77777777">
        <w:tc>
          <w:tcPr>
            <w:tcW w:w="2830" w:type="dxa"/>
          </w:tcPr>
          <w:p w:rsidRPr="006E33E6" w:rsidR="00684B95" w:rsidP="00483F75" w:rsidRDefault="00684B95" w14:paraId="74FE3A75" w14:textId="77777777">
            <w:pPr>
              <w:pStyle w:val="ListBullet"/>
              <w:numPr>
                <w:ilvl w:val="0"/>
                <w:numId w:val="0"/>
              </w:numPr>
              <w:rPr>
                <w:rFonts w:asciiTheme="minorHAnsi" w:hAnsiTheme="minorHAnsi" w:cstheme="minorHAnsi"/>
                <w:b/>
                <w:bCs/>
                <w:lang w:val="en-US"/>
              </w:rPr>
            </w:pPr>
            <w:r w:rsidRPr="006E33E6">
              <w:rPr>
                <w:rFonts w:asciiTheme="minorHAnsi" w:hAnsiTheme="minorHAnsi" w:cstheme="minorHAnsi"/>
                <w:b/>
                <w:bCs/>
                <w:lang w:val="en-US"/>
              </w:rPr>
              <w:t>Evidence and examples</w:t>
            </w:r>
          </w:p>
          <w:p w:rsidRPr="006E33E6" w:rsidR="00684B95" w:rsidP="00483F75" w:rsidRDefault="00684B95" w14:paraId="58158FC4" w14:textId="77777777">
            <w:pPr>
              <w:pStyle w:val="ListBullet"/>
              <w:numPr>
                <w:ilvl w:val="0"/>
                <w:numId w:val="0"/>
              </w:numPr>
              <w:rPr>
                <w:rFonts w:asciiTheme="minorHAnsi" w:hAnsiTheme="minorHAnsi" w:cstheme="minorHAnsi"/>
                <w:b/>
                <w:bCs/>
              </w:rPr>
            </w:pPr>
            <w:r w:rsidRPr="006E33E6">
              <w:rPr>
                <w:rFonts w:asciiTheme="minorHAnsi" w:hAnsiTheme="minorHAnsi" w:cstheme="minorHAnsi"/>
                <w:lang w:val="en-US"/>
              </w:rPr>
              <w:t>While there was an introduction about the steps that a consumer needs to go through, the lack of progress on subsequent screens gave them no visibility of progress.</w:t>
            </w:r>
          </w:p>
        </w:tc>
        <w:tc>
          <w:tcPr>
            <w:tcW w:w="7253" w:type="dxa"/>
          </w:tcPr>
          <w:p w:rsidRPr="006E33E6" w:rsidR="00684B95" w:rsidP="00483F75" w:rsidRDefault="00684B95" w14:paraId="4E393662" w14:textId="77777777">
            <w:pPr>
              <w:pStyle w:val="PwCNormal"/>
              <w:numPr>
                <w:ilvl w:val="0"/>
                <w:numId w:val="0"/>
              </w:numPr>
              <w:spacing w:after="0"/>
              <w:rPr>
                <w:rFonts w:asciiTheme="minorHAnsi" w:hAnsiTheme="minorHAnsi" w:cstheme="minorHAnsi"/>
              </w:rPr>
            </w:pPr>
            <w:r w:rsidRPr="006E33E6">
              <w:rPr>
                <w:rFonts w:asciiTheme="minorHAnsi" w:hAnsiTheme="minorHAnsi" w:cstheme="minorHAnsi"/>
                <w:noProof/>
              </w:rPr>
              <w:drawing>
                <wp:inline distT="0" distB="0" distL="0" distR="0" wp14:anchorId="4D42A168" wp14:editId="6955902B">
                  <wp:extent cx="2636003" cy="1860698"/>
                  <wp:effectExtent l="0" t="0" r="0" b="6350"/>
                  <wp:docPr id="57" name="Picture 4"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 descr="Screen shot demonstrating issue described"/>
                          <pic:cNvPicPr/>
                        </pic:nvPicPr>
                        <pic:blipFill>
                          <a:blip r:embed="rId51">
                            <a:extLst>
                              <a:ext uri="{FF2B5EF4-FFF2-40B4-BE49-F238E27FC236}">
                                <a16:creationId xmlns:oel="http://schemas.microsoft.com/office/2019/extlst"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E8DE5D6F-91B8-5DAE-7783-DD227429B38A}"/>
                              </a:ext>
                            </a:extLst>
                          </a:blip>
                          <a:srcRect t="4229" b="65596"/>
                          <a:stretch>
                            <a:fillRect/>
                          </a:stretch>
                        </pic:blipFill>
                        <pic:spPr>
                          <a:xfrm>
                            <a:off x="0" y="0"/>
                            <a:ext cx="2636003" cy="1860698"/>
                          </a:xfrm>
                          <a:prstGeom prst="rect">
                            <a:avLst/>
                          </a:prstGeom>
                        </pic:spPr>
                      </pic:pic>
                    </a:graphicData>
                  </a:graphic>
                </wp:inline>
              </w:drawing>
            </w:r>
          </w:p>
          <w:p w:rsidRPr="006E33E6" w:rsidR="00684B95" w:rsidP="00483F75" w:rsidRDefault="00684B95" w14:paraId="03E821D3" w14:textId="77777777">
            <w:pPr>
              <w:pStyle w:val="PwCNormal"/>
              <w:numPr>
                <w:ilvl w:val="0"/>
                <w:numId w:val="0"/>
              </w:numPr>
              <w:spacing w:after="0"/>
              <w:rPr>
                <w:rFonts w:asciiTheme="minorHAnsi" w:hAnsiTheme="minorHAnsi" w:cstheme="minorHAnsi"/>
              </w:rPr>
            </w:pPr>
          </w:p>
        </w:tc>
      </w:tr>
      <w:tr w:rsidRPr="006E33E6" w:rsidR="006E33E6" w:rsidTr="002C1B01" w14:paraId="0641A006" w14:textId="77777777">
        <w:tc>
          <w:tcPr>
            <w:tcW w:w="2830" w:type="dxa"/>
          </w:tcPr>
          <w:p w:rsidRPr="006E33E6" w:rsidR="00684B95" w:rsidP="00483F75" w:rsidRDefault="00684B95" w14:paraId="1FE7EBCD" w14:textId="77777777">
            <w:pPr>
              <w:pStyle w:val="ListBullet"/>
              <w:numPr>
                <w:ilvl w:val="0"/>
                <w:numId w:val="0"/>
              </w:numPr>
              <w:rPr>
                <w:rFonts w:asciiTheme="minorHAnsi" w:hAnsiTheme="minorHAnsi" w:cstheme="minorHAnsi"/>
                <w:b/>
                <w:bCs/>
                <w:lang w:val="en-US"/>
              </w:rPr>
            </w:pPr>
          </w:p>
        </w:tc>
        <w:tc>
          <w:tcPr>
            <w:tcW w:w="7253" w:type="dxa"/>
          </w:tcPr>
          <w:p w:rsidRPr="006E33E6" w:rsidR="00684B95" w:rsidP="00483F75" w:rsidRDefault="00684B95" w14:paraId="1F4DC9C0" w14:textId="77777777">
            <w:pPr>
              <w:pStyle w:val="PwCNormal"/>
              <w:numPr>
                <w:ilvl w:val="0"/>
                <w:numId w:val="0"/>
              </w:numPr>
              <w:spacing w:after="0"/>
              <w:rPr>
                <w:rFonts w:asciiTheme="minorHAnsi" w:hAnsiTheme="minorHAnsi" w:cstheme="minorHAnsi"/>
              </w:rPr>
            </w:pPr>
          </w:p>
        </w:tc>
      </w:tr>
      <w:tr w:rsidRPr="006E33E6" w:rsidR="006E33E6" w:rsidTr="002C1B01" w14:paraId="31514E2F" w14:textId="77777777">
        <w:tc>
          <w:tcPr>
            <w:tcW w:w="2830" w:type="dxa"/>
          </w:tcPr>
          <w:p w:rsidRPr="006E33E6" w:rsidR="00684B95" w:rsidP="00483F75" w:rsidRDefault="00684B95" w14:paraId="1EA4AE6B" w14:textId="77777777">
            <w:pPr>
              <w:pStyle w:val="PwCNormal"/>
              <w:numPr>
                <w:ilvl w:val="0"/>
                <w:numId w:val="0"/>
              </w:numPr>
              <w:rPr>
                <w:rFonts w:asciiTheme="minorHAnsi" w:hAnsiTheme="minorHAnsi" w:cstheme="minorHAnsi"/>
                <w:lang w:val="en-US"/>
              </w:rPr>
            </w:pPr>
            <w:r w:rsidRPr="006E33E6">
              <w:rPr>
                <w:rFonts w:asciiTheme="minorHAnsi" w:hAnsiTheme="minorHAnsi" w:cstheme="minorHAnsi"/>
                <w:lang w:val="en-US"/>
              </w:rPr>
              <w:lastRenderedPageBreak/>
              <w:t>While there was an introduction about the steps that a consumer needs to go through, the lack of progress on subsequent screens gave them no visibility of progress.</w:t>
            </w:r>
          </w:p>
        </w:tc>
        <w:tc>
          <w:tcPr>
            <w:tcW w:w="7253" w:type="dxa"/>
          </w:tcPr>
          <w:p w:rsidRPr="006E33E6" w:rsidR="00684B95" w:rsidP="00483F75" w:rsidRDefault="00684B95" w14:paraId="2EC4071A" w14:textId="77777777">
            <w:pPr>
              <w:pStyle w:val="PwCNormal"/>
              <w:numPr>
                <w:ilvl w:val="0"/>
                <w:numId w:val="0"/>
              </w:numPr>
              <w:spacing w:after="0"/>
              <w:rPr>
                <w:rFonts w:asciiTheme="minorHAnsi" w:hAnsiTheme="minorHAnsi" w:cstheme="minorHAnsi"/>
              </w:rPr>
            </w:pPr>
            <w:r w:rsidRPr="006E33E6">
              <w:rPr>
                <w:rFonts w:asciiTheme="minorHAnsi" w:hAnsiTheme="minorHAnsi" w:cstheme="minorHAnsi"/>
                <w:noProof/>
                <w:shd w:val="clear" w:color="auto" w:fill="E6E6E6"/>
              </w:rPr>
              <w:drawing>
                <wp:inline distT="0" distB="0" distL="0" distR="0" wp14:anchorId="261AA1B2" wp14:editId="00BB035E">
                  <wp:extent cx="1987550" cy="2810510"/>
                  <wp:effectExtent l="0" t="0" r="0" b="8890"/>
                  <wp:docPr id="60" name="Picture 60"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 shot demonstrating issue described"/>
                          <pic:cNvPicPr/>
                        </pic:nvPicPr>
                        <pic:blipFill>
                          <a:blip r:embed="rId52">
                            <a:extLst>
                              <a:ext uri="{28A0092B-C50C-407E-A947-70E740481C1C}">
                                <a14:useLocalDpi xmlns:a14="http://schemas.microsoft.com/office/drawing/2010/main" val="0"/>
                              </a:ext>
                            </a:extLst>
                          </a:blip>
                          <a:stretch>
                            <a:fillRect/>
                          </a:stretch>
                        </pic:blipFill>
                        <pic:spPr>
                          <a:xfrm>
                            <a:off x="0" y="0"/>
                            <a:ext cx="1987550" cy="2810510"/>
                          </a:xfrm>
                          <a:prstGeom prst="rect">
                            <a:avLst/>
                          </a:prstGeom>
                        </pic:spPr>
                      </pic:pic>
                    </a:graphicData>
                  </a:graphic>
                </wp:inline>
              </w:drawing>
            </w:r>
          </w:p>
        </w:tc>
      </w:tr>
    </w:tbl>
    <w:p w:rsidRPr="006E33E6" w:rsidR="00684B95" w:rsidP="00684B95" w:rsidRDefault="00684B95" w14:paraId="17311D78" w14:textId="77777777"/>
    <w:p w:rsidR="00B8780D" w:rsidRDefault="00B8780D" w14:paraId="7970D912" w14:textId="6E0FF89A">
      <w:pPr>
        <w:spacing w:after="160" w:line="259" w:lineRule="auto"/>
      </w:pPr>
      <w:r>
        <w:br w:type="page"/>
      </w:r>
    </w:p>
    <w:p w:rsidR="000C006C" w:rsidP="000C006C" w:rsidRDefault="000C006C" w14:paraId="7636A8AF" w14:textId="1D261CB4">
      <w:pPr>
        <w:pStyle w:val="Heading1"/>
      </w:pPr>
      <w:bookmarkStart w:name="_Toc107497575" w:id="16"/>
      <w:bookmarkStart w:name="_Toc115693175" w:id="17"/>
      <w:r>
        <w:lastRenderedPageBreak/>
        <w:t>7</w:t>
      </w:r>
      <w:r>
        <w:tab/>
      </w:r>
      <w:r>
        <w:t>Recommendations</w:t>
      </w:r>
      <w:bookmarkEnd w:id="16"/>
      <w:bookmarkEnd w:id="17"/>
    </w:p>
    <w:p w:rsidR="000C006C" w:rsidP="000075F5" w:rsidRDefault="000C006C" w14:paraId="29F247B3" w14:textId="77777777">
      <w:r>
        <w:t>The following recommendations constitute an improvement plan for the Data Standards Chair (</w:t>
      </w:r>
      <w:r w:rsidRPr="00E4043E">
        <w:rPr>
          <w:b/>
          <w:bCs/>
        </w:rPr>
        <w:t>Chair</w:t>
      </w:r>
      <w:r>
        <w:t>).  Each recommendation is provided with an assessment of the comparative importance, and necessary timeframe, using the Department of Finance’s Gateway Review methodology.</w:t>
      </w:r>
      <w:r>
        <w:rPr>
          <w:rStyle w:val="FootnoteReference"/>
        </w:rPr>
        <w:footnoteReference w:id="3"/>
      </w:r>
    </w:p>
    <w:p w:rsidRPr="006D229A" w:rsidR="000C006C" w:rsidP="000075F5" w:rsidRDefault="000C006C" w14:paraId="4EB556E6" w14:textId="77777777">
      <w:r>
        <w:t xml:space="preserve">Recommendations 1-3 appear here, as </w:t>
      </w:r>
      <w:r w:rsidRPr="006D229A">
        <w:t xml:space="preserve">they do in the </w:t>
      </w:r>
      <w:hyperlink w:history="1" r:id="rId53">
        <w:r w:rsidRPr="006D229A">
          <w:rPr>
            <w:rStyle w:val="Hyperlink"/>
            <w:color w:val="auto"/>
          </w:rPr>
          <w:t>Accessibility Obligations and Conventions Framework for the Data Standards Chair report</w:t>
        </w:r>
      </w:hyperlink>
      <w:r w:rsidRPr="006D229A">
        <w:t xml:space="preserve"> (</w:t>
      </w:r>
      <w:r w:rsidRPr="006D229A">
        <w:rPr>
          <w:b/>
          <w:bCs/>
        </w:rPr>
        <w:t>Background Report</w:t>
      </w:r>
      <w:r w:rsidRPr="006D229A">
        <w:t>).</w:t>
      </w:r>
    </w:p>
    <w:p w:rsidRPr="006E33E6" w:rsidR="000C006C" w:rsidP="000C006C" w:rsidRDefault="000C006C" w14:paraId="1DD38A3A" w14:textId="77777777">
      <w:pPr>
        <w:pStyle w:val="themeheadings"/>
        <w:rPr>
          <w:rFonts w:asciiTheme="minorHAnsi" w:hAnsiTheme="minorHAnsi" w:cstheme="minorHAnsi"/>
          <w:color w:val="auto"/>
        </w:rPr>
      </w:pPr>
      <w:r w:rsidRPr="006E33E6">
        <w:rPr>
          <w:rFonts w:asciiTheme="minorHAnsi" w:hAnsiTheme="minorHAnsi" w:cstheme="minorHAnsi"/>
          <w:color w:val="auto"/>
        </w:rPr>
        <w:t>Recommendation 1: Whilst the CX Standards already mandate certain WCAG criterion, the Chair should consider more extensively incorporating WCAG into the Data Standards, the Data Standards artefacts themselves, and related products, to address their legislative obligations for Accessibility.</w:t>
      </w:r>
    </w:p>
    <w:p w:rsidRPr="006E33E6" w:rsidR="000C006C" w:rsidP="000C006C" w:rsidRDefault="000C006C" w14:paraId="576A9049" w14:textId="77777777">
      <w:pPr>
        <w:pStyle w:val="themeheadings"/>
        <w:rPr>
          <w:rFonts w:asciiTheme="minorHAnsi" w:hAnsiTheme="minorHAnsi" w:cstheme="minorHAnsi"/>
          <w:color w:val="auto"/>
          <w:sz w:val="20"/>
          <w:szCs w:val="20"/>
        </w:rPr>
      </w:pPr>
      <w:r w:rsidRPr="006E33E6">
        <w:rPr>
          <w:rFonts w:asciiTheme="minorHAnsi" w:hAnsiTheme="minorHAnsi" w:cstheme="minorHAnsi"/>
          <w:color w:val="auto"/>
          <w:sz w:val="20"/>
          <w:szCs w:val="20"/>
        </w:rPr>
        <w:t>Critical, for immediate action.</w:t>
      </w:r>
    </w:p>
    <w:p w:rsidRPr="006E33E6" w:rsidR="000C006C" w:rsidP="001156F9" w:rsidRDefault="000C006C" w14:paraId="2E2E29B8" w14:textId="77777777">
      <w:r w:rsidRPr="006E33E6">
        <w:t>Including by:</w:t>
      </w:r>
    </w:p>
    <w:p w:rsidRPr="006E33E6" w:rsidR="000C006C" w:rsidP="001156F9" w:rsidRDefault="000C006C" w14:paraId="3C035295" w14:textId="77777777">
      <w:r w:rsidRPr="006E33E6">
        <w:t>1.1</w:t>
      </w:r>
      <w:r w:rsidRPr="006E33E6">
        <w:tab/>
      </w:r>
      <w:r w:rsidRPr="006E33E6">
        <w:t>Maintaining compliance with the current version.</w:t>
      </w:r>
    </w:p>
    <w:p w:rsidRPr="006E33E6" w:rsidR="000C006C" w:rsidP="001156F9" w:rsidRDefault="000C006C" w14:paraId="6683F6B1" w14:textId="77777777">
      <w:r w:rsidRPr="006E33E6">
        <w:t>1.2</w:t>
      </w:r>
      <w:r w:rsidRPr="006E33E6">
        <w:tab/>
      </w:r>
      <w:r w:rsidRPr="006E33E6">
        <w:t>Having regard for WCAG’s further guidance, especially:</w:t>
      </w:r>
    </w:p>
    <w:p w:rsidRPr="006E33E6" w:rsidR="000C006C" w:rsidP="001156F9" w:rsidRDefault="000C006C" w14:paraId="6F9BD8F6" w14:textId="77777777">
      <w:r w:rsidRPr="006E33E6">
        <w:t xml:space="preserve">1.2.1 Mobile </w:t>
      </w:r>
      <w:proofErr w:type="gramStart"/>
      <w:r w:rsidRPr="006E33E6">
        <w:t>Accessibility;</w:t>
      </w:r>
      <w:proofErr w:type="gramEnd"/>
      <w:r w:rsidRPr="006E33E6">
        <w:t xml:space="preserve">  </w:t>
      </w:r>
    </w:p>
    <w:p w:rsidRPr="006E33E6" w:rsidR="000C006C" w:rsidP="001156F9" w:rsidRDefault="000C006C" w14:paraId="48DF4E73" w14:textId="77777777">
      <w:r w:rsidRPr="006E33E6">
        <w:t xml:space="preserve">1.2.2 Cognitive </w:t>
      </w:r>
      <w:proofErr w:type="gramStart"/>
      <w:r w:rsidRPr="006E33E6">
        <w:t>Accessibility;</w:t>
      </w:r>
      <w:proofErr w:type="gramEnd"/>
      <w:r w:rsidRPr="006E33E6">
        <w:t xml:space="preserve">  </w:t>
      </w:r>
    </w:p>
    <w:p w:rsidRPr="006E33E6" w:rsidR="000C006C" w:rsidP="001156F9" w:rsidRDefault="000C006C" w14:paraId="39D17FFF" w14:textId="77777777">
      <w:r w:rsidRPr="006E33E6">
        <w:t xml:space="preserve">1.2.3 Personalisation; and </w:t>
      </w:r>
    </w:p>
    <w:p w:rsidRPr="006E33E6" w:rsidR="000C006C" w:rsidP="001156F9" w:rsidRDefault="000C006C" w14:paraId="35283AE5" w14:textId="77777777">
      <w:r w:rsidRPr="006E33E6">
        <w:t xml:space="preserve">1.2.4 Pronunciation.  </w:t>
      </w:r>
    </w:p>
    <w:p w:rsidRPr="006E33E6" w:rsidR="000C006C" w:rsidP="001156F9" w:rsidRDefault="000C006C" w14:paraId="63683430" w14:textId="77777777">
      <w:r w:rsidRPr="006E33E6">
        <w:t>1.3</w:t>
      </w:r>
      <w:r w:rsidRPr="006E33E6">
        <w:tab/>
      </w:r>
      <w:r w:rsidRPr="006E33E6">
        <w:t>Determining the Level of compliance (A/AA/AAA) required for each Success Criteria, which may involve consulting with:</w:t>
      </w:r>
    </w:p>
    <w:p w:rsidRPr="006E33E6" w:rsidR="000C006C" w:rsidP="001156F9" w:rsidRDefault="000C006C" w14:paraId="2FA6FCD7" w14:textId="77777777">
      <w:r w:rsidRPr="006E33E6">
        <w:t>1.3.1 AHRC</w:t>
      </w:r>
    </w:p>
    <w:p w:rsidRPr="006E33E6" w:rsidR="000C006C" w:rsidP="001156F9" w:rsidRDefault="000C006C" w14:paraId="343E910F" w14:textId="77777777">
      <w:r w:rsidRPr="006E33E6">
        <w:t>1.3.2 DTA</w:t>
      </w:r>
    </w:p>
    <w:p w:rsidRPr="006E33E6" w:rsidR="000C006C" w:rsidP="001156F9" w:rsidRDefault="000C006C" w14:paraId="5F4FB4D4" w14:textId="77777777">
      <w:r w:rsidRPr="006E33E6">
        <w:t>1.3.3 ABA; and</w:t>
      </w:r>
    </w:p>
    <w:p w:rsidRPr="006E33E6" w:rsidR="000C006C" w:rsidP="001156F9" w:rsidRDefault="000C006C" w14:paraId="0FD914B1" w14:textId="77777777">
      <w:r w:rsidRPr="006E33E6">
        <w:t>1.3.4 AER/ESC</w:t>
      </w:r>
    </w:p>
    <w:p w:rsidRPr="006E33E6" w:rsidR="000C006C" w:rsidP="000C006C" w:rsidRDefault="000C006C" w14:paraId="15FB7E74" w14:textId="77777777">
      <w:r w:rsidRPr="006E33E6">
        <w:br w:type="page"/>
      </w:r>
    </w:p>
    <w:p w:rsidRPr="006E33E6" w:rsidR="000C006C" w:rsidP="000C006C" w:rsidRDefault="000C006C" w14:paraId="6C2EEBCC" w14:textId="77777777">
      <w:pPr>
        <w:pStyle w:val="themeheadings"/>
        <w:rPr>
          <w:rFonts w:asciiTheme="minorHAnsi" w:hAnsiTheme="minorHAnsi" w:cstheme="minorHAnsi"/>
          <w:color w:val="auto"/>
          <w:lang w:val="en-GB"/>
        </w:rPr>
      </w:pPr>
      <w:r w:rsidRPr="006E33E6">
        <w:rPr>
          <w:rFonts w:asciiTheme="minorHAnsi" w:hAnsiTheme="minorHAnsi" w:cstheme="minorHAnsi"/>
          <w:color w:val="auto"/>
          <w:lang w:val="en-GB"/>
        </w:rPr>
        <w:lastRenderedPageBreak/>
        <w:t xml:space="preserve">Recommendation 2: Given the current reliance upon a Design System which is not fit-for-purpose, the Chair addresses the divergence from the GOLD Design System. </w:t>
      </w:r>
    </w:p>
    <w:p w:rsidRPr="006E33E6" w:rsidR="000C006C" w:rsidP="000C006C" w:rsidRDefault="000C006C" w14:paraId="5F18F222" w14:textId="77777777">
      <w:pPr>
        <w:pStyle w:val="themeheadings"/>
        <w:rPr>
          <w:rFonts w:asciiTheme="minorHAnsi" w:hAnsiTheme="minorHAnsi" w:cstheme="minorHAnsi"/>
          <w:color w:val="auto"/>
          <w:sz w:val="20"/>
          <w:szCs w:val="20"/>
          <w:lang w:val="en-GB"/>
        </w:rPr>
      </w:pPr>
      <w:r w:rsidRPr="006E33E6">
        <w:rPr>
          <w:rFonts w:asciiTheme="minorHAnsi" w:hAnsiTheme="minorHAnsi" w:cstheme="minorHAnsi"/>
          <w:color w:val="auto"/>
          <w:sz w:val="20"/>
          <w:szCs w:val="20"/>
          <w:lang w:val="en-GB"/>
        </w:rPr>
        <w:t>Essential, initiate consultation.</w:t>
      </w:r>
    </w:p>
    <w:p w:rsidRPr="006E33E6" w:rsidR="000C006C" w:rsidP="001156F9" w:rsidRDefault="000C006C" w14:paraId="5B0DFA76" w14:textId="77777777">
      <w:pPr>
        <w:rPr>
          <w:rFonts w:eastAsia="Arial"/>
        </w:rPr>
      </w:pPr>
      <w:r w:rsidRPr="006E33E6">
        <w:rPr>
          <w:rFonts w:eastAsia="Arial"/>
        </w:rPr>
        <w:t>Options may include:</w:t>
      </w:r>
    </w:p>
    <w:p w:rsidRPr="006E33E6" w:rsidR="000C006C" w:rsidP="001156F9" w:rsidRDefault="000C006C" w14:paraId="424E613A" w14:textId="77777777">
      <w:pPr>
        <w:rPr>
          <w:rFonts w:eastAsia="Arial"/>
        </w:rPr>
      </w:pPr>
      <w:r w:rsidRPr="006E33E6">
        <w:rPr>
          <w:rFonts w:eastAsia="Arial"/>
        </w:rPr>
        <w:t xml:space="preserve">2.1 Advocating for the Design System Au, an open-source community, to build the necessary </w:t>
      </w:r>
      <w:proofErr w:type="gramStart"/>
      <w:r w:rsidRPr="006E33E6">
        <w:rPr>
          <w:rFonts w:eastAsia="Arial"/>
        </w:rPr>
        <w:t>modules;</w:t>
      </w:r>
      <w:proofErr w:type="gramEnd"/>
      <w:r w:rsidRPr="006E33E6">
        <w:rPr>
          <w:rFonts w:eastAsia="Arial"/>
        </w:rPr>
        <w:t xml:space="preserve"> </w:t>
      </w:r>
    </w:p>
    <w:p w:rsidRPr="006E33E6" w:rsidR="000C006C" w:rsidP="001156F9" w:rsidRDefault="000C006C" w14:paraId="53F4B82C" w14:textId="77777777">
      <w:pPr>
        <w:rPr>
          <w:rFonts w:eastAsia="Arial"/>
        </w:rPr>
      </w:pPr>
      <w:r w:rsidRPr="006E33E6">
        <w:rPr>
          <w:rFonts w:eastAsia="Arial"/>
        </w:rPr>
        <w:t xml:space="preserve">2.2 Seeking funding for these modules to be built, and advocate for their adoption into the GOLD Design </w:t>
      </w:r>
      <w:proofErr w:type="gramStart"/>
      <w:r w:rsidRPr="006E33E6">
        <w:rPr>
          <w:rFonts w:eastAsia="Arial"/>
        </w:rPr>
        <w:t>System;</w:t>
      </w:r>
      <w:proofErr w:type="gramEnd"/>
    </w:p>
    <w:p w:rsidRPr="006E33E6" w:rsidR="000C006C" w:rsidP="001156F9" w:rsidRDefault="000C006C" w14:paraId="6E4A6279" w14:textId="77777777">
      <w:pPr>
        <w:rPr>
          <w:rFonts w:eastAsia="Arial"/>
        </w:rPr>
      </w:pPr>
      <w:r w:rsidRPr="006E33E6">
        <w:rPr>
          <w:rFonts w:eastAsia="Arial"/>
        </w:rPr>
        <w:t>2.3 Acquiring the GOLD Design System as part of the function(s) of the Chair, and/or DSB.; or</w:t>
      </w:r>
    </w:p>
    <w:p w:rsidRPr="006E33E6" w:rsidR="000C006C" w:rsidP="001156F9" w:rsidRDefault="000C006C" w14:paraId="36B0AAC7" w14:textId="77777777">
      <w:pPr>
        <w:rPr>
          <w:rFonts w:eastAsia="Arial"/>
        </w:rPr>
      </w:pPr>
      <w:r w:rsidRPr="006E33E6">
        <w:rPr>
          <w:rFonts w:eastAsia="Arial"/>
        </w:rPr>
        <w:t>2.4 (</w:t>
      </w:r>
      <w:r w:rsidRPr="006E33E6">
        <w:rPr>
          <w:rFonts w:eastAsia="Arial"/>
          <w:b/>
          <w:bCs/>
        </w:rPr>
        <w:t>Preferred</w:t>
      </w:r>
      <w:r w:rsidRPr="006E33E6">
        <w:rPr>
          <w:rFonts w:eastAsia="Arial"/>
        </w:rPr>
        <w:t xml:space="preserve">) Developing an independent Data Standards Design System that focusses on the needs of data sharing, and consent models, but incorporates components from other systems, such as the GOLD Design System where appropriate. This Design System would also include authentication in its scope. </w:t>
      </w:r>
    </w:p>
    <w:p w:rsidRPr="006E33E6" w:rsidR="000C006C" w:rsidP="001156F9" w:rsidRDefault="000C006C" w14:paraId="329460A5" w14:textId="77777777">
      <w:pPr>
        <w:rPr>
          <w:rFonts w:ascii="Arial" w:hAnsi="Arial" w:eastAsia="Arial"/>
        </w:rPr>
      </w:pPr>
      <w:r w:rsidRPr="006E33E6">
        <w:rPr>
          <w:rFonts w:eastAsia="Arial"/>
        </w:rPr>
        <w:t>As suggested in the Inquiry into Future Directions for the CDR (see pp.188-191), option 2.4 could, if appropriate, support consistency for data sharing approaches across the economy</w:t>
      </w:r>
      <w:r w:rsidRPr="006E33E6">
        <w:rPr>
          <w:rFonts w:ascii="Arial" w:hAnsi="Arial" w:eastAsia="Arial"/>
        </w:rPr>
        <w:t>.</w:t>
      </w:r>
    </w:p>
    <w:p w:rsidRPr="006E33E6" w:rsidR="000C006C" w:rsidP="000C006C" w:rsidRDefault="000C006C" w14:paraId="014C774E" w14:textId="77777777">
      <w:pPr>
        <w:pStyle w:val="themeheadings"/>
        <w:rPr>
          <w:rFonts w:eastAsia="Arial" w:asciiTheme="minorHAnsi" w:hAnsiTheme="minorHAnsi" w:cstheme="minorHAnsi"/>
          <w:color w:val="auto"/>
        </w:rPr>
      </w:pPr>
      <w:r w:rsidRPr="006E33E6">
        <w:rPr>
          <w:rFonts w:eastAsia="Arial" w:asciiTheme="minorHAnsi" w:hAnsiTheme="minorHAnsi" w:cstheme="minorHAnsi"/>
          <w:color w:val="auto"/>
        </w:rPr>
        <w:t xml:space="preserve">Recommendation 3: The Chair commissions a scoping-study into the development of Usability and Inclusivity framework(s) with the intent of addressing their legislative obligations. </w:t>
      </w:r>
    </w:p>
    <w:p w:rsidRPr="006E33E6" w:rsidR="000C006C" w:rsidP="000C006C" w:rsidRDefault="000C006C" w14:paraId="6D89AB3F" w14:textId="77777777">
      <w:pPr>
        <w:pStyle w:val="themeheadings"/>
        <w:rPr>
          <w:rFonts w:eastAsia="Arial" w:asciiTheme="minorHAnsi" w:hAnsiTheme="minorHAnsi" w:cstheme="minorHAnsi"/>
          <w:color w:val="auto"/>
          <w:sz w:val="20"/>
          <w:szCs w:val="20"/>
        </w:rPr>
      </w:pPr>
      <w:r w:rsidRPr="006E33E6">
        <w:rPr>
          <w:rFonts w:eastAsia="Arial" w:asciiTheme="minorHAnsi" w:hAnsiTheme="minorHAnsi" w:cstheme="minorHAnsi"/>
          <w:color w:val="auto"/>
          <w:sz w:val="20"/>
          <w:szCs w:val="20"/>
        </w:rPr>
        <w:t>Critical, for immediate action.</w:t>
      </w:r>
    </w:p>
    <w:p w:rsidRPr="006D229A" w:rsidR="000C006C" w:rsidP="001156F9" w:rsidRDefault="000C006C" w14:paraId="557B8DC4" w14:textId="77777777">
      <w:pPr>
        <w:rPr>
          <w:rFonts w:eastAsia="Arial"/>
        </w:rPr>
      </w:pPr>
      <w:r w:rsidRPr="006E33E6">
        <w:rPr>
          <w:rFonts w:eastAsia="Arial"/>
        </w:rPr>
        <w:t xml:space="preserve">For reference, some common </w:t>
      </w:r>
      <w:r w:rsidRPr="006D229A">
        <w:rPr>
          <w:rFonts w:eastAsia="Arial"/>
        </w:rPr>
        <w:t xml:space="preserve">Usability and Inclusivity framework(s) include the </w:t>
      </w:r>
      <w:hyperlink r:id="rId54">
        <w:r w:rsidRPr="006D229A">
          <w:rPr>
            <w:rStyle w:val="Hyperlink"/>
            <w:rFonts w:eastAsia="Arial"/>
            <w:color w:val="auto"/>
          </w:rPr>
          <w:t>Australian Banking Association’s Banking Accessibility Principles</w:t>
        </w:r>
      </w:hyperlink>
      <w:r w:rsidRPr="006D229A">
        <w:rPr>
          <w:rFonts w:eastAsia="Arial"/>
        </w:rPr>
        <w:t xml:space="preserve">, </w:t>
      </w:r>
      <w:hyperlink r:id="rId55">
        <w:r w:rsidRPr="006D229A">
          <w:rPr>
            <w:rStyle w:val="Hyperlink"/>
            <w:rFonts w:eastAsia="Arial"/>
            <w:color w:val="auto"/>
          </w:rPr>
          <w:t>Microsoft’s Inclusive Design methodology</w:t>
        </w:r>
      </w:hyperlink>
      <w:r w:rsidRPr="006D229A">
        <w:rPr>
          <w:rFonts w:eastAsia="Arial"/>
        </w:rPr>
        <w:t xml:space="preserve"> and </w:t>
      </w:r>
      <w:hyperlink r:id="rId56">
        <w:r w:rsidRPr="006D229A">
          <w:rPr>
            <w:rStyle w:val="Hyperlink"/>
            <w:rFonts w:eastAsia="Arial"/>
            <w:color w:val="auto"/>
          </w:rPr>
          <w:t>Shopify accessibility and inclusivity design in practice.</w:t>
        </w:r>
      </w:hyperlink>
    </w:p>
    <w:p w:rsidRPr="006E33E6" w:rsidR="000C006C" w:rsidP="000C006C" w:rsidRDefault="000C006C" w14:paraId="7FFA8392" w14:textId="77777777">
      <w:pPr>
        <w:pStyle w:val="themeheadings"/>
        <w:rPr>
          <w:rFonts w:asciiTheme="minorHAnsi" w:hAnsiTheme="minorHAnsi" w:cstheme="minorHAnsi"/>
          <w:color w:val="auto"/>
          <w:lang w:val="en-GB"/>
        </w:rPr>
      </w:pPr>
      <w:r w:rsidRPr="006E33E6">
        <w:rPr>
          <w:rFonts w:asciiTheme="minorHAnsi" w:hAnsiTheme="minorHAnsi" w:cstheme="minorHAnsi"/>
          <w:color w:val="auto"/>
          <w:lang w:val="en-GB"/>
        </w:rPr>
        <w:t xml:space="preserve">Recommendation 4: The Chair, or the DSB, joins W3C </w:t>
      </w:r>
      <w:proofErr w:type="gramStart"/>
      <w:r w:rsidRPr="006E33E6">
        <w:rPr>
          <w:rFonts w:asciiTheme="minorHAnsi" w:hAnsiTheme="minorHAnsi" w:cstheme="minorHAnsi"/>
          <w:color w:val="auto"/>
          <w:lang w:val="en-GB"/>
        </w:rPr>
        <w:t>in order to</w:t>
      </w:r>
      <w:proofErr w:type="gramEnd"/>
      <w:r w:rsidRPr="006E33E6">
        <w:rPr>
          <w:rFonts w:asciiTheme="minorHAnsi" w:hAnsiTheme="minorHAnsi" w:cstheme="minorHAnsi"/>
          <w:color w:val="auto"/>
          <w:lang w:val="en-GB"/>
        </w:rPr>
        <w:t xml:space="preserve"> support the future direction of these standards. </w:t>
      </w:r>
    </w:p>
    <w:p w:rsidRPr="006E33E6" w:rsidR="000C006C" w:rsidP="000C006C" w:rsidRDefault="000C006C" w14:paraId="48968368" w14:textId="77777777">
      <w:pPr>
        <w:pStyle w:val="themeheadings"/>
        <w:rPr>
          <w:rFonts w:asciiTheme="minorHAnsi" w:hAnsiTheme="minorHAnsi" w:cstheme="minorHAnsi"/>
          <w:color w:val="auto"/>
          <w:sz w:val="20"/>
          <w:szCs w:val="20"/>
          <w:lang w:val="en-GB"/>
        </w:rPr>
      </w:pPr>
      <w:r w:rsidRPr="006E33E6">
        <w:rPr>
          <w:rFonts w:asciiTheme="minorHAnsi" w:hAnsiTheme="minorHAnsi" w:cstheme="minorHAnsi"/>
          <w:color w:val="auto"/>
          <w:sz w:val="20"/>
          <w:szCs w:val="20"/>
          <w:lang w:val="en-GB"/>
        </w:rPr>
        <w:t>Recommended, consider as part of forward planning.</w:t>
      </w:r>
    </w:p>
    <w:p w:rsidRPr="001156F9" w:rsidR="000C006C" w:rsidP="000C006C" w:rsidRDefault="000C006C" w14:paraId="513C00ED" w14:textId="77777777">
      <w:pPr>
        <w:pStyle w:val="PwCNormal"/>
        <w:numPr>
          <w:ilvl w:val="0"/>
          <w:numId w:val="0"/>
        </w:numPr>
        <w:rPr>
          <w:rFonts w:asciiTheme="minorHAnsi" w:hAnsiTheme="minorHAnsi" w:cstheme="minorHAnsi"/>
          <w:lang w:val="en-GB"/>
        </w:rPr>
      </w:pPr>
      <w:r w:rsidRPr="001156F9">
        <w:rPr>
          <w:rFonts w:asciiTheme="minorHAnsi" w:hAnsiTheme="minorHAnsi" w:cstheme="minorHAnsi"/>
          <w:lang w:val="en-GB"/>
        </w:rPr>
        <w:t>Relevant forums in World Wide Web Consortium (W3C) provide a conduit for</w:t>
      </w:r>
    </w:p>
    <w:p w:rsidRPr="001156F9" w:rsidR="000C006C" w:rsidP="000C006C" w:rsidRDefault="000C006C" w14:paraId="05FC5D44" w14:textId="77777777">
      <w:pPr>
        <w:pStyle w:val="PwCNormal"/>
        <w:numPr>
          <w:ilvl w:val="0"/>
          <w:numId w:val="20"/>
        </w:numPr>
        <w:rPr>
          <w:rFonts w:asciiTheme="minorHAnsi" w:hAnsiTheme="minorHAnsi" w:cstheme="minorHAnsi"/>
          <w:lang w:val="en-GB"/>
        </w:rPr>
      </w:pPr>
      <w:r w:rsidRPr="001156F9">
        <w:rPr>
          <w:rFonts w:asciiTheme="minorHAnsi" w:hAnsiTheme="minorHAnsi" w:cstheme="minorHAnsi"/>
          <w:lang w:val="en-GB"/>
        </w:rPr>
        <w:t>the DSB to influence the development of Accessibility standards and guidelines; and</w:t>
      </w:r>
    </w:p>
    <w:p w:rsidRPr="001156F9" w:rsidR="000C006C" w:rsidP="000C006C" w:rsidRDefault="000C006C" w14:paraId="3D92B306" w14:textId="77777777">
      <w:pPr>
        <w:pStyle w:val="PwCNormal"/>
        <w:numPr>
          <w:ilvl w:val="0"/>
          <w:numId w:val="20"/>
        </w:numPr>
        <w:rPr>
          <w:rFonts w:asciiTheme="minorHAnsi" w:hAnsiTheme="minorHAnsi" w:cstheme="minorHAnsi"/>
          <w:lang w:val="en-GB"/>
        </w:rPr>
      </w:pPr>
      <w:r w:rsidRPr="001156F9">
        <w:rPr>
          <w:rFonts w:asciiTheme="minorHAnsi" w:hAnsiTheme="minorHAnsi" w:cstheme="minorHAnsi"/>
          <w:lang w:val="en-GB"/>
        </w:rPr>
        <w:t xml:space="preserve"> a direct interface for the Chair, and DSB, into the WC3 to influence the future direction of global standards informed by the on-going research of the DSB. </w:t>
      </w:r>
    </w:p>
    <w:p w:rsidRPr="000541EA" w:rsidR="000C006C" w:rsidP="000C006C" w:rsidRDefault="000C006C" w14:paraId="3FEAC54C" w14:textId="77777777">
      <w:pPr>
        <w:rPr>
          <w:b/>
          <w:bCs/>
          <w:sz w:val="24"/>
          <w:szCs w:val="24"/>
        </w:rPr>
      </w:pPr>
      <w:r w:rsidRPr="001156F9">
        <w:br w:type="page"/>
      </w:r>
    </w:p>
    <w:p w:rsidRPr="006E33E6" w:rsidR="000C006C" w:rsidP="000C006C" w:rsidRDefault="000C006C" w14:paraId="2C9FBF77" w14:textId="77777777">
      <w:pPr>
        <w:pStyle w:val="themeheadings"/>
        <w:rPr>
          <w:rFonts w:asciiTheme="minorHAnsi" w:hAnsiTheme="minorHAnsi" w:cstheme="minorHAnsi"/>
          <w:color w:val="auto"/>
          <w:lang w:val="en-GB"/>
        </w:rPr>
      </w:pPr>
      <w:r w:rsidRPr="006E33E6">
        <w:rPr>
          <w:rFonts w:asciiTheme="minorHAnsi" w:hAnsiTheme="minorHAnsi" w:cstheme="minorHAnsi"/>
          <w:color w:val="auto"/>
          <w:lang w:val="en-GB"/>
        </w:rPr>
        <w:lastRenderedPageBreak/>
        <w:t xml:space="preserve">Recommendation 5: The DSB should maintain an Accessibility, Usability, and Inclusion capability </w:t>
      </w:r>
      <w:proofErr w:type="gramStart"/>
      <w:r w:rsidRPr="006E33E6">
        <w:rPr>
          <w:rFonts w:asciiTheme="minorHAnsi" w:hAnsiTheme="minorHAnsi" w:cstheme="minorHAnsi"/>
          <w:color w:val="auto"/>
          <w:lang w:val="en-GB"/>
        </w:rPr>
        <w:t>in order to</w:t>
      </w:r>
      <w:proofErr w:type="gramEnd"/>
      <w:r w:rsidRPr="006E33E6">
        <w:rPr>
          <w:rFonts w:asciiTheme="minorHAnsi" w:hAnsiTheme="minorHAnsi" w:cstheme="minorHAnsi"/>
          <w:color w:val="auto"/>
          <w:lang w:val="en-GB"/>
        </w:rPr>
        <w:t xml:space="preserve"> support appropriate Data Standards development, on behalf of the Chair.</w:t>
      </w:r>
    </w:p>
    <w:p w:rsidRPr="006E33E6" w:rsidR="000C006C" w:rsidP="000C006C" w:rsidRDefault="000C006C" w14:paraId="0780FD51" w14:textId="77777777">
      <w:pPr>
        <w:pStyle w:val="themeheadings"/>
        <w:rPr>
          <w:rFonts w:asciiTheme="minorHAnsi" w:hAnsiTheme="minorHAnsi" w:cstheme="minorHAnsi"/>
          <w:color w:val="auto"/>
          <w:sz w:val="20"/>
          <w:szCs w:val="20"/>
          <w:lang w:val="en-GB"/>
        </w:rPr>
      </w:pPr>
      <w:r w:rsidRPr="006E33E6">
        <w:rPr>
          <w:rFonts w:asciiTheme="minorHAnsi" w:hAnsiTheme="minorHAnsi" w:cstheme="minorHAnsi"/>
          <w:color w:val="auto"/>
          <w:sz w:val="20"/>
          <w:szCs w:val="20"/>
          <w:lang w:val="en-GB"/>
        </w:rPr>
        <w:t>Essential, conduct costings.</w:t>
      </w:r>
    </w:p>
    <w:p w:rsidRPr="006E33E6" w:rsidR="000C006C" w:rsidP="000C006C" w:rsidRDefault="000C006C" w14:paraId="7A82D208" w14:textId="77777777">
      <w:pPr>
        <w:pStyle w:val="PwCNormal"/>
        <w:numPr>
          <w:ilvl w:val="0"/>
          <w:numId w:val="0"/>
        </w:numPr>
        <w:spacing w:after="120" w:afterLines="50"/>
        <w:rPr>
          <w:rFonts w:asciiTheme="minorHAnsi" w:hAnsiTheme="minorHAnsi" w:cstheme="minorHAnsi"/>
          <w:lang w:val="en-GB"/>
        </w:rPr>
      </w:pPr>
      <w:r w:rsidRPr="006E33E6">
        <w:rPr>
          <w:rFonts w:asciiTheme="minorHAnsi" w:hAnsiTheme="minorHAnsi" w:cstheme="minorHAnsi"/>
          <w:lang w:val="en-GB"/>
        </w:rPr>
        <w:t>In accordance with obligations outlined in the Background report, the CX Data Standards must be brought up to alignment with the current WCAG version. Then, to ensure that CX Data Standards development maintains best practice, the DSB should create and maintain an Accessibility and Inclusion capability to:</w:t>
      </w:r>
    </w:p>
    <w:p w:rsidRPr="006E33E6" w:rsidR="000C006C" w:rsidP="000C006C" w:rsidRDefault="000C006C" w14:paraId="07C0734C" w14:textId="77777777">
      <w:pPr>
        <w:pStyle w:val="ListParagraph"/>
        <w:numPr>
          <w:ilvl w:val="0"/>
          <w:numId w:val="18"/>
        </w:numPr>
        <w:spacing w:after="288" w:afterLines="120"/>
        <w:rPr>
          <w:rFonts w:asciiTheme="minorHAnsi" w:hAnsiTheme="minorHAnsi" w:cstheme="minorHAnsi"/>
        </w:rPr>
      </w:pPr>
      <w:r w:rsidRPr="006E33E6">
        <w:rPr>
          <w:rFonts w:asciiTheme="minorHAnsi" w:hAnsiTheme="minorHAnsi" w:cstheme="minorHAnsi"/>
        </w:rPr>
        <w:t xml:space="preserve">maintain CX Data Standards and guidelines for Accessibility, Usability, and </w:t>
      </w:r>
      <w:proofErr w:type="gramStart"/>
      <w:r w:rsidRPr="006E33E6">
        <w:rPr>
          <w:rFonts w:asciiTheme="minorHAnsi" w:hAnsiTheme="minorHAnsi" w:cstheme="minorHAnsi"/>
        </w:rPr>
        <w:t>Inclusion;</w:t>
      </w:r>
      <w:proofErr w:type="gramEnd"/>
    </w:p>
    <w:p w:rsidRPr="006E33E6" w:rsidR="000C006C" w:rsidP="000C006C" w:rsidRDefault="000C006C" w14:paraId="7D13DDC8" w14:textId="77777777">
      <w:pPr>
        <w:pStyle w:val="ListParagraph"/>
        <w:numPr>
          <w:ilvl w:val="0"/>
          <w:numId w:val="18"/>
        </w:numPr>
        <w:spacing w:after="288" w:afterLines="120"/>
        <w:rPr>
          <w:rFonts w:asciiTheme="minorHAnsi" w:hAnsiTheme="minorHAnsi" w:cstheme="minorHAnsi"/>
        </w:rPr>
      </w:pPr>
      <w:r w:rsidRPr="006E33E6">
        <w:rPr>
          <w:rFonts w:asciiTheme="minorHAnsi" w:hAnsiTheme="minorHAnsi" w:cstheme="minorHAnsi"/>
        </w:rPr>
        <w:t xml:space="preserve">manage local and international stakeholder and community engagement and relationships on Accessibility and </w:t>
      </w:r>
      <w:proofErr w:type="gramStart"/>
      <w:r w:rsidRPr="006E33E6">
        <w:rPr>
          <w:rFonts w:asciiTheme="minorHAnsi" w:hAnsiTheme="minorHAnsi" w:cstheme="minorHAnsi"/>
        </w:rPr>
        <w:t>Inclusion;</w:t>
      </w:r>
      <w:proofErr w:type="gramEnd"/>
    </w:p>
    <w:p w:rsidRPr="006E33E6" w:rsidR="000C006C" w:rsidP="000C006C" w:rsidRDefault="000C006C" w14:paraId="7E30442E" w14:textId="77777777">
      <w:pPr>
        <w:pStyle w:val="ListParagraph"/>
        <w:numPr>
          <w:ilvl w:val="0"/>
          <w:numId w:val="18"/>
        </w:numPr>
        <w:spacing w:after="288" w:afterLines="120"/>
        <w:rPr>
          <w:rFonts w:asciiTheme="minorHAnsi" w:hAnsiTheme="minorHAnsi" w:cstheme="minorHAnsi"/>
        </w:rPr>
      </w:pPr>
      <w:r w:rsidRPr="006E33E6">
        <w:rPr>
          <w:rFonts w:asciiTheme="minorHAnsi" w:hAnsiTheme="minorHAnsi" w:cstheme="minorHAnsi"/>
        </w:rPr>
        <w:t xml:space="preserve">operate, </w:t>
      </w:r>
      <w:proofErr w:type="gramStart"/>
      <w:r w:rsidRPr="006E33E6">
        <w:rPr>
          <w:rFonts w:asciiTheme="minorHAnsi" w:hAnsiTheme="minorHAnsi" w:cstheme="minorHAnsi"/>
        </w:rPr>
        <w:t>develop</w:t>
      </w:r>
      <w:proofErr w:type="gramEnd"/>
      <w:r w:rsidRPr="006E33E6">
        <w:rPr>
          <w:rFonts w:asciiTheme="minorHAnsi" w:hAnsiTheme="minorHAnsi" w:cstheme="minorHAnsi"/>
        </w:rPr>
        <w:t xml:space="preserve"> and maintain the Design System, especially its Accessibility components (if the Design System recommendation is adopted); and</w:t>
      </w:r>
    </w:p>
    <w:p w:rsidRPr="006E33E6" w:rsidR="000C006C" w:rsidP="000C006C" w:rsidRDefault="000C006C" w14:paraId="1CB482BD" w14:textId="77777777">
      <w:pPr>
        <w:pStyle w:val="ListParagraph"/>
        <w:numPr>
          <w:ilvl w:val="0"/>
          <w:numId w:val="18"/>
        </w:numPr>
        <w:spacing w:after="288" w:afterLines="120"/>
        <w:rPr>
          <w:rFonts w:asciiTheme="minorHAnsi" w:hAnsiTheme="minorHAnsi" w:cstheme="minorHAnsi"/>
        </w:rPr>
      </w:pPr>
      <w:r w:rsidRPr="006E33E6">
        <w:rPr>
          <w:rFonts w:asciiTheme="minorHAnsi" w:hAnsiTheme="minorHAnsi" w:cstheme="minorHAnsi"/>
        </w:rPr>
        <w:t>develop and maintain of the Usability and Inclusivity Framework, including providing support for its use by CDR participants; and</w:t>
      </w:r>
    </w:p>
    <w:p w:rsidRPr="006E33E6" w:rsidR="000C006C" w:rsidP="000C006C" w:rsidRDefault="000C006C" w14:paraId="54084109" w14:textId="77777777">
      <w:pPr>
        <w:pStyle w:val="ListParagraph"/>
        <w:numPr>
          <w:ilvl w:val="0"/>
          <w:numId w:val="18"/>
        </w:numPr>
        <w:spacing w:after="288" w:afterLines="120"/>
        <w:rPr>
          <w:rFonts w:asciiTheme="minorHAnsi" w:hAnsiTheme="minorHAnsi" w:cstheme="minorHAnsi"/>
        </w:rPr>
      </w:pPr>
      <w:r w:rsidRPr="006E33E6">
        <w:rPr>
          <w:rFonts w:asciiTheme="minorHAnsi" w:hAnsiTheme="minorHAnsi" w:cstheme="minorHAnsi"/>
        </w:rPr>
        <w:t xml:space="preserve">support consistent, Accessible, and Inclusive data sharing methods across the economy, as suggested in the Inquiry into Future Directions for the CDR (see </w:t>
      </w:r>
      <w:hyperlink r:id="rId57">
        <w:r w:rsidRPr="006E33E6">
          <w:rPr>
            <w:rFonts w:asciiTheme="minorHAnsi" w:hAnsiTheme="minorHAnsi" w:cstheme="minorHAnsi"/>
          </w:rPr>
          <w:t>pp.188-191</w:t>
        </w:r>
      </w:hyperlink>
      <w:r w:rsidRPr="006E33E6">
        <w:rPr>
          <w:rFonts w:asciiTheme="minorHAnsi" w:hAnsiTheme="minorHAnsi" w:cstheme="minorHAnsi"/>
        </w:rPr>
        <w:t>).</w:t>
      </w:r>
    </w:p>
    <w:p w:rsidRPr="006E33E6" w:rsidR="000C006C" w:rsidP="000C006C" w:rsidRDefault="000C006C" w14:paraId="5BB3CED5" w14:textId="77777777">
      <w:pPr>
        <w:pStyle w:val="ListParagraph"/>
        <w:rPr>
          <w:rFonts w:asciiTheme="minorHAnsi" w:hAnsiTheme="minorHAnsi" w:cstheme="minorHAnsi"/>
        </w:rPr>
      </w:pPr>
    </w:p>
    <w:p w:rsidRPr="006E33E6" w:rsidR="000C006C" w:rsidP="000C006C" w:rsidRDefault="000C006C" w14:paraId="1C12B60B" w14:textId="77777777">
      <w:pPr>
        <w:pStyle w:val="themeheadings"/>
        <w:rPr>
          <w:rFonts w:asciiTheme="minorHAnsi" w:hAnsiTheme="minorHAnsi" w:cstheme="minorHAnsi"/>
          <w:color w:val="auto"/>
          <w:lang w:val="en-GB"/>
        </w:rPr>
      </w:pPr>
      <w:bookmarkStart w:name="_Hlk115692363" w:id="18"/>
      <w:r w:rsidRPr="006E33E6">
        <w:rPr>
          <w:rFonts w:asciiTheme="minorHAnsi" w:hAnsiTheme="minorHAnsi" w:cstheme="minorHAnsi"/>
          <w:color w:val="auto"/>
          <w:lang w:val="en-GB"/>
        </w:rPr>
        <w:t xml:space="preserve">Recommendation 6: The Chair refines the existing CX Accessibility Standards </w:t>
      </w:r>
      <w:proofErr w:type="gramStart"/>
      <w:r w:rsidRPr="006E33E6">
        <w:rPr>
          <w:rFonts w:asciiTheme="minorHAnsi" w:hAnsiTheme="minorHAnsi" w:cstheme="minorHAnsi"/>
          <w:color w:val="auto"/>
          <w:lang w:val="en-GB"/>
        </w:rPr>
        <w:t>in order to</w:t>
      </w:r>
      <w:proofErr w:type="gramEnd"/>
      <w:r w:rsidRPr="006E33E6">
        <w:rPr>
          <w:rFonts w:asciiTheme="minorHAnsi" w:hAnsiTheme="minorHAnsi" w:cstheme="minorHAnsi"/>
          <w:color w:val="auto"/>
          <w:lang w:val="en-GB"/>
        </w:rPr>
        <w:t xml:space="preserve"> simplify and strengthen them.</w:t>
      </w:r>
    </w:p>
    <w:p w:rsidRPr="006E33E6" w:rsidR="000C006C" w:rsidP="000C006C" w:rsidRDefault="000C006C" w14:paraId="14DE96B8" w14:textId="77777777">
      <w:pPr>
        <w:pStyle w:val="themeheadings"/>
        <w:rPr>
          <w:rFonts w:asciiTheme="minorHAnsi" w:hAnsiTheme="minorHAnsi" w:cstheme="minorHAnsi"/>
          <w:color w:val="auto"/>
          <w:sz w:val="20"/>
          <w:szCs w:val="20"/>
          <w:lang w:val="en-GB"/>
        </w:rPr>
      </w:pPr>
      <w:r w:rsidRPr="006E33E6">
        <w:rPr>
          <w:rFonts w:asciiTheme="minorHAnsi" w:hAnsiTheme="minorHAnsi" w:cstheme="minorHAnsi"/>
          <w:color w:val="auto"/>
          <w:sz w:val="20"/>
          <w:szCs w:val="20"/>
          <w:lang w:val="en-GB"/>
        </w:rPr>
        <w:t>Critical, for immediate action.</w:t>
      </w:r>
    </w:p>
    <w:bookmarkEnd w:id="18"/>
    <w:p w:rsidRPr="006D229A" w:rsidR="000C006C" w:rsidP="000C006C" w:rsidRDefault="000C006C" w14:paraId="3A48D8B3" w14:textId="77777777">
      <w:pPr>
        <w:pStyle w:val="PwCNormal"/>
        <w:numPr>
          <w:ilvl w:val="0"/>
          <w:numId w:val="0"/>
        </w:numPr>
        <w:rPr>
          <w:rFonts w:asciiTheme="minorHAnsi" w:hAnsiTheme="minorHAnsi" w:cstheme="minorHAnsi"/>
          <w:lang w:val="en-GB"/>
        </w:rPr>
      </w:pPr>
      <w:r w:rsidRPr="006D229A">
        <w:rPr>
          <w:rFonts w:asciiTheme="minorHAnsi" w:hAnsiTheme="minorHAnsi" w:cstheme="minorHAnsi"/>
          <w:lang w:val="en-GB"/>
        </w:rPr>
        <w:t xml:space="preserve">The </w:t>
      </w:r>
      <w:hyperlink w:history="1" r:id="rId58">
        <w:r w:rsidRPr="006D229A">
          <w:rPr>
            <w:rStyle w:val="Hyperlink"/>
            <w:rFonts w:asciiTheme="minorHAnsi" w:hAnsiTheme="minorHAnsi" w:cstheme="minorHAnsi"/>
            <w:color w:val="auto"/>
            <w:lang w:val="en-GB"/>
          </w:rPr>
          <w:t>Disability Discrimination Act</w:t>
        </w:r>
      </w:hyperlink>
      <w:r w:rsidRPr="006D229A">
        <w:rPr>
          <w:rFonts w:asciiTheme="minorHAnsi" w:hAnsiTheme="minorHAnsi" w:cstheme="minorHAnsi"/>
          <w:lang w:val="en-GB"/>
        </w:rPr>
        <w:t xml:space="preserve"> (</w:t>
      </w:r>
      <w:r w:rsidRPr="006D229A">
        <w:rPr>
          <w:rFonts w:asciiTheme="minorHAnsi" w:hAnsiTheme="minorHAnsi" w:cstheme="minorHAnsi"/>
          <w:b/>
          <w:bCs/>
          <w:lang w:val="en-GB"/>
        </w:rPr>
        <w:t>DDA</w:t>
      </w:r>
      <w:r w:rsidRPr="006D229A">
        <w:rPr>
          <w:rFonts w:asciiTheme="minorHAnsi" w:hAnsiTheme="minorHAnsi" w:cstheme="minorHAnsi"/>
          <w:lang w:val="en-GB"/>
        </w:rPr>
        <w:t xml:space="preserve">) invokes a legal requirement for all information and services provided online to be usable and accessible to people with disabilities. As noted in the </w:t>
      </w:r>
      <w:hyperlink w:history="1" w:anchor="required" r:id="rId59">
        <w:r w:rsidRPr="006D229A">
          <w:rPr>
            <w:rStyle w:val="Hyperlink"/>
            <w:rFonts w:asciiTheme="minorHAnsi" w:hAnsiTheme="minorHAnsi" w:cstheme="minorHAnsi"/>
            <w:color w:val="auto"/>
            <w:lang w:val="en-GB"/>
          </w:rPr>
          <w:t>Australian Human Rights Commission’s (</w:t>
        </w:r>
        <w:r w:rsidRPr="006D229A">
          <w:rPr>
            <w:rStyle w:val="Hyperlink"/>
            <w:rFonts w:asciiTheme="minorHAnsi" w:hAnsiTheme="minorHAnsi" w:cstheme="minorHAnsi"/>
            <w:b/>
            <w:bCs/>
            <w:color w:val="auto"/>
            <w:lang w:val="en-GB"/>
          </w:rPr>
          <w:t>AHRC</w:t>
        </w:r>
        <w:r w:rsidRPr="006D229A">
          <w:rPr>
            <w:rStyle w:val="Hyperlink"/>
            <w:rFonts w:asciiTheme="minorHAnsi" w:hAnsiTheme="minorHAnsi" w:cstheme="minorHAnsi"/>
            <w:color w:val="auto"/>
            <w:lang w:val="en-GB"/>
          </w:rPr>
          <w:t>) guidance</w:t>
        </w:r>
      </w:hyperlink>
      <w:r w:rsidRPr="006D229A">
        <w:rPr>
          <w:rFonts w:asciiTheme="minorHAnsi" w:hAnsiTheme="minorHAnsi" w:cstheme="minorHAnsi"/>
          <w:lang w:val="en-GB"/>
        </w:rPr>
        <w:t xml:space="preserve">, any individual or organisation providing information or services online is subject to this requirement. The AHRC recommended adoption of WCAG2.0 for this purpose. </w:t>
      </w:r>
    </w:p>
    <w:p w:rsidRPr="006D229A" w:rsidR="000C006C" w:rsidP="000C006C" w:rsidRDefault="000C006C" w14:paraId="17AE2C49" w14:textId="77777777">
      <w:pPr>
        <w:pStyle w:val="PwCNormal"/>
        <w:numPr>
          <w:ilvl w:val="0"/>
          <w:numId w:val="0"/>
        </w:numPr>
        <w:rPr>
          <w:rFonts w:asciiTheme="minorHAnsi" w:hAnsiTheme="minorHAnsi" w:cstheme="minorHAnsi"/>
          <w:lang w:val="en-GB"/>
        </w:rPr>
      </w:pPr>
      <w:r w:rsidRPr="006D229A">
        <w:rPr>
          <w:rFonts w:asciiTheme="minorHAnsi" w:hAnsiTheme="minorHAnsi" w:cstheme="minorHAnsi"/>
          <w:lang w:val="en-GB"/>
        </w:rPr>
        <w:t xml:space="preserve">CDR participants are already required to make their online services accessible in accordance with the DDA. Therefore, it is recommended that the CX Accessibility Standards be revised to make CDR obligations consistent with these existing requirements. This recommendation also ensures that the Chair is complying with their legal obligations with respect to Accessibility, and that they are supporting Accessibility for organisations which make use of the CX Data Standards. To do this the Chair should consider replacing the existing CX Data Standards on Accessibility with a statement </w:t>
      </w:r>
      <w:proofErr w:type="gramStart"/>
      <w:r w:rsidRPr="006D229A">
        <w:rPr>
          <w:rFonts w:asciiTheme="minorHAnsi" w:hAnsiTheme="minorHAnsi" w:cstheme="minorHAnsi"/>
          <w:lang w:val="en-GB"/>
        </w:rPr>
        <w:t>similar to</w:t>
      </w:r>
      <w:proofErr w:type="gramEnd"/>
      <w:r w:rsidRPr="006D229A">
        <w:rPr>
          <w:rFonts w:asciiTheme="minorHAnsi" w:hAnsiTheme="minorHAnsi" w:cstheme="minorHAnsi"/>
          <w:lang w:val="en-GB"/>
        </w:rPr>
        <w:t>:</w:t>
      </w:r>
    </w:p>
    <w:p w:rsidRPr="006D229A" w:rsidR="000C006C" w:rsidP="000C006C" w:rsidRDefault="000C006C" w14:paraId="0FE5BD85" w14:textId="77777777">
      <w:pPr>
        <w:pStyle w:val="PwCNormal"/>
        <w:numPr>
          <w:ilvl w:val="0"/>
          <w:numId w:val="0"/>
        </w:numPr>
        <w:rPr>
          <w:rFonts w:asciiTheme="minorHAnsi" w:hAnsiTheme="minorHAnsi" w:cstheme="minorHAnsi"/>
          <w:i/>
          <w:lang w:val="en-GB"/>
        </w:rPr>
      </w:pPr>
      <w:r w:rsidRPr="006D229A">
        <w:rPr>
          <w:rFonts w:asciiTheme="minorHAnsi" w:hAnsiTheme="minorHAnsi" w:cstheme="minorHAnsi"/>
          <w:i/>
          <w:lang w:val="en-GB"/>
        </w:rPr>
        <w:t xml:space="preserve">All CDR participants MUST provide information and services that achieves two functional performance statements: </w:t>
      </w:r>
    </w:p>
    <w:p w:rsidRPr="006D229A" w:rsidR="000C006C" w:rsidP="000C006C" w:rsidRDefault="000C006C" w14:paraId="7BA4585A" w14:textId="77777777">
      <w:pPr>
        <w:pStyle w:val="PwCNormal"/>
        <w:numPr>
          <w:ilvl w:val="0"/>
          <w:numId w:val="17"/>
        </w:numPr>
        <w:rPr>
          <w:rFonts w:asciiTheme="minorHAnsi" w:hAnsiTheme="minorHAnsi" w:cstheme="minorHAnsi"/>
          <w:i/>
          <w:lang w:val="en-GB"/>
        </w:rPr>
      </w:pPr>
      <w:r w:rsidRPr="006D229A">
        <w:rPr>
          <w:rFonts w:asciiTheme="minorHAnsi" w:hAnsiTheme="minorHAnsi" w:cstheme="minorHAnsi"/>
          <w:i/>
          <w:lang w:val="en-GB"/>
        </w:rPr>
        <w:t xml:space="preserve">Enable any person to locate identify, operate functions, and to access the information provided, regardless of physical, cognitive, or sensory abilities </w:t>
      </w:r>
    </w:p>
    <w:p w:rsidRPr="001156F9" w:rsidR="000C006C" w:rsidP="000C006C" w:rsidRDefault="000C006C" w14:paraId="6ADE6802" w14:textId="77777777">
      <w:pPr>
        <w:pStyle w:val="PwCNormal"/>
        <w:numPr>
          <w:ilvl w:val="0"/>
          <w:numId w:val="17"/>
        </w:numPr>
        <w:rPr>
          <w:rFonts w:asciiTheme="minorHAnsi" w:hAnsiTheme="minorHAnsi" w:cstheme="minorHAnsi"/>
          <w:i/>
          <w:lang w:val="en-GB"/>
        </w:rPr>
      </w:pPr>
      <w:r w:rsidRPr="006D229A">
        <w:rPr>
          <w:rFonts w:asciiTheme="minorHAnsi" w:hAnsiTheme="minorHAnsi" w:cstheme="minorHAnsi"/>
          <w:i/>
          <w:lang w:val="en-GB"/>
        </w:rPr>
        <w:t xml:space="preserve">Maintain the privacy and security of any user at the same level regardless </w:t>
      </w:r>
      <w:r w:rsidRPr="001156F9">
        <w:rPr>
          <w:rFonts w:asciiTheme="minorHAnsi" w:hAnsiTheme="minorHAnsi" w:cstheme="minorHAnsi"/>
          <w:i/>
          <w:lang w:val="en-GB"/>
        </w:rPr>
        <w:t>of the accessibility features of the content or service.</w:t>
      </w:r>
    </w:p>
    <w:p w:rsidRPr="001156F9" w:rsidR="000C006C" w:rsidP="000C006C" w:rsidRDefault="000C006C" w14:paraId="7149038B" w14:textId="77777777">
      <w:pPr>
        <w:pStyle w:val="PwCNormal"/>
        <w:numPr>
          <w:ilvl w:val="0"/>
          <w:numId w:val="0"/>
        </w:numPr>
        <w:rPr>
          <w:rFonts w:asciiTheme="minorHAnsi" w:hAnsiTheme="minorHAnsi" w:cstheme="minorHAnsi"/>
          <w:i/>
          <w:iCs/>
          <w:lang w:val="en-GB"/>
        </w:rPr>
      </w:pPr>
      <w:r w:rsidRPr="001156F9">
        <w:rPr>
          <w:rFonts w:asciiTheme="minorHAnsi" w:hAnsiTheme="minorHAnsi" w:cstheme="minorHAnsi"/>
          <w:i/>
          <w:iCs/>
          <w:lang w:val="en-GB"/>
        </w:rPr>
        <w:t>Provision of functional performance MUST be verified through conformance with current WCAG Level AA Success Criteria and where appropriate SHOULD confirm with relevant Level AAA success criteria.</w:t>
      </w:r>
    </w:p>
    <w:p w:rsidRPr="001156F9" w:rsidR="000C006C" w:rsidP="000C006C" w:rsidRDefault="000C006C" w14:paraId="1919DE37" w14:textId="77777777">
      <w:pPr>
        <w:pStyle w:val="PwCNormal"/>
        <w:numPr>
          <w:ilvl w:val="0"/>
          <w:numId w:val="0"/>
        </w:numPr>
        <w:rPr>
          <w:rFonts w:asciiTheme="minorHAnsi" w:hAnsiTheme="minorHAnsi" w:cstheme="minorHAnsi"/>
          <w:lang w:val="en-GB"/>
        </w:rPr>
      </w:pPr>
      <w:r w:rsidRPr="001156F9">
        <w:rPr>
          <w:rFonts w:asciiTheme="minorHAnsi" w:hAnsiTheme="minorHAnsi" w:cstheme="minorHAnsi"/>
          <w:lang w:val="en-GB"/>
        </w:rPr>
        <w:t>These success criteria levels should be refined by the consultation undertaken through Recommendation 1.</w:t>
      </w:r>
    </w:p>
    <w:p w:rsidRPr="001156F9" w:rsidR="000C006C" w:rsidP="000C006C" w:rsidRDefault="000C006C" w14:paraId="106E9B0E" w14:textId="77777777">
      <w:pPr>
        <w:pStyle w:val="BlockText2"/>
        <w:rPr>
          <w:rFonts w:asciiTheme="minorHAnsi" w:hAnsiTheme="minorHAnsi" w:cstheme="minorHAnsi"/>
        </w:rPr>
      </w:pPr>
      <w:r w:rsidRPr="001156F9">
        <w:rPr>
          <w:rFonts w:asciiTheme="minorHAnsi" w:hAnsiTheme="minorHAnsi" w:cstheme="minorHAnsi"/>
        </w:rPr>
        <w:br w:type="page"/>
      </w:r>
    </w:p>
    <w:p w:rsidRPr="006E33E6" w:rsidR="000C006C" w:rsidP="000C006C" w:rsidRDefault="000C006C" w14:paraId="7E3F2EF7" w14:textId="77777777">
      <w:pPr>
        <w:pStyle w:val="themeheadings"/>
        <w:rPr>
          <w:rFonts w:asciiTheme="minorHAnsi" w:hAnsiTheme="minorHAnsi" w:cstheme="minorHAnsi"/>
          <w:color w:val="auto"/>
        </w:rPr>
      </w:pPr>
      <w:bookmarkStart w:name="_Hlk115692377" w:id="19"/>
      <w:r w:rsidRPr="006E33E6">
        <w:rPr>
          <w:rFonts w:asciiTheme="minorHAnsi" w:hAnsiTheme="minorHAnsi" w:cstheme="minorHAnsi"/>
          <w:color w:val="auto"/>
        </w:rPr>
        <w:lastRenderedPageBreak/>
        <w:t>Recommendation 7: Review, prioritise and address issues of Transparency, Clarity and Understanding and Visibility in the Consent Flow.</w:t>
      </w:r>
    </w:p>
    <w:p w:rsidRPr="006E33E6" w:rsidR="000C006C" w:rsidP="000C006C" w:rsidRDefault="000C006C" w14:paraId="58F9B37D" w14:textId="77777777">
      <w:pPr>
        <w:pStyle w:val="themeheadings"/>
        <w:rPr>
          <w:rFonts w:asciiTheme="minorHAnsi" w:hAnsiTheme="minorHAnsi" w:cstheme="minorHAnsi"/>
          <w:color w:val="auto"/>
          <w:sz w:val="20"/>
          <w:szCs w:val="20"/>
        </w:rPr>
      </w:pPr>
      <w:r w:rsidRPr="006E33E6">
        <w:rPr>
          <w:rFonts w:asciiTheme="minorHAnsi" w:hAnsiTheme="minorHAnsi" w:cstheme="minorHAnsi"/>
          <w:color w:val="auto"/>
          <w:sz w:val="20"/>
          <w:szCs w:val="20"/>
        </w:rPr>
        <w:t>Recommended,</w:t>
      </w:r>
      <w:r w:rsidRPr="006E33E6">
        <w:rPr>
          <w:rFonts w:asciiTheme="minorHAnsi" w:hAnsiTheme="minorHAnsi" w:cstheme="minorHAnsi"/>
          <w:color w:val="auto"/>
          <w:sz w:val="20"/>
          <w:szCs w:val="20"/>
          <w:lang w:val="en-GB"/>
        </w:rPr>
        <w:t xml:space="preserve"> consider as part of forward planning.</w:t>
      </w:r>
    </w:p>
    <w:bookmarkEnd w:id="19"/>
    <w:p w:rsidRPr="001156F9" w:rsidR="000C006C" w:rsidP="000C006C" w:rsidRDefault="000C006C" w14:paraId="7E67A2B1" w14:textId="77777777">
      <w:pPr>
        <w:pStyle w:val="PwCNormal-Single"/>
        <w:rPr>
          <w:rFonts w:asciiTheme="minorHAnsi" w:hAnsiTheme="minorHAnsi" w:cstheme="minorHAnsi"/>
        </w:rPr>
      </w:pPr>
      <w:r w:rsidRPr="001156F9">
        <w:rPr>
          <w:rFonts w:asciiTheme="minorHAnsi" w:hAnsiTheme="minorHAnsi" w:cstheme="minorHAnsi"/>
        </w:rPr>
        <w:t>Below is a plan to improve Consent Flow, including actions and assessment of relative priority.</w:t>
      </w:r>
    </w:p>
    <w:p w:rsidRPr="001156F9" w:rsidR="000C006C" w:rsidP="000C006C" w:rsidRDefault="000C006C" w14:paraId="68D949CC" w14:textId="77777777">
      <w:pPr>
        <w:pStyle w:val="PwCNormal-Single"/>
        <w:rPr>
          <w:rFonts w:asciiTheme="minorHAnsi" w:hAnsiTheme="minorHAnsi" w:cstheme="minorHAnsi"/>
        </w:rPr>
      </w:pPr>
    </w:p>
    <w:tbl>
      <w:tblPr>
        <w:tblStyle w:val="GridTable1Light"/>
        <w:tblW w:w="0" w:type="auto"/>
        <w:tblLook w:val="04A0" w:firstRow="1" w:lastRow="0" w:firstColumn="1" w:lastColumn="0" w:noHBand="0" w:noVBand="1"/>
      </w:tblPr>
      <w:tblGrid>
        <w:gridCol w:w="1728"/>
        <w:gridCol w:w="2425"/>
        <w:gridCol w:w="2341"/>
        <w:gridCol w:w="3361"/>
      </w:tblGrid>
      <w:tr w:rsidRPr="001156F9" w:rsidR="000C006C" w:rsidTr="00483F75" w14:paraId="15AAAB9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dxa"/>
          </w:tcPr>
          <w:p w:rsidRPr="001156F9" w:rsidR="000C006C" w:rsidP="00483F75" w:rsidRDefault="000C006C" w14:paraId="72F10DB8" w14:textId="77777777">
            <w:pPr>
              <w:pStyle w:val="PwCNormal"/>
              <w:numPr>
                <w:ilvl w:val="0"/>
                <w:numId w:val="0"/>
              </w:numPr>
              <w:spacing w:after="80"/>
              <w:rPr>
                <w:rFonts w:asciiTheme="minorHAnsi" w:hAnsiTheme="minorHAnsi" w:cstheme="minorHAnsi"/>
                <w:b w:val="0"/>
                <w:bCs w:val="0"/>
                <w:lang w:val="en-GB"/>
              </w:rPr>
            </w:pPr>
            <w:r w:rsidRPr="001156F9">
              <w:rPr>
                <w:rFonts w:asciiTheme="minorHAnsi" w:hAnsiTheme="minorHAnsi" w:cstheme="minorHAnsi"/>
                <w:lang w:val="en-GB"/>
              </w:rPr>
              <w:t>Theme</w:t>
            </w:r>
          </w:p>
        </w:tc>
        <w:tc>
          <w:tcPr>
            <w:tcW w:w="2480" w:type="dxa"/>
          </w:tcPr>
          <w:p w:rsidRPr="001156F9" w:rsidR="000C006C" w:rsidP="00483F75" w:rsidRDefault="000C006C" w14:paraId="24A83A4A" w14:textId="77777777">
            <w:pPr>
              <w:pStyle w:val="PwCNormal"/>
              <w:numPr>
                <w:ilvl w:val="0"/>
                <w:numId w:val="0"/>
              </w:numPr>
              <w:spacing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en-GB"/>
              </w:rPr>
            </w:pPr>
            <w:r w:rsidRPr="001156F9">
              <w:rPr>
                <w:rFonts w:asciiTheme="minorHAnsi" w:hAnsiTheme="minorHAnsi" w:cstheme="minorHAnsi"/>
                <w:lang w:val="en-GB"/>
              </w:rPr>
              <w:t>Issue</w:t>
            </w:r>
          </w:p>
        </w:tc>
        <w:tc>
          <w:tcPr>
            <w:tcW w:w="2381" w:type="dxa"/>
          </w:tcPr>
          <w:p w:rsidRPr="001156F9" w:rsidR="000C006C" w:rsidP="00483F75" w:rsidRDefault="000C006C" w14:paraId="64D0F8D4" w14:textId="77777777">
            <w:pPr>
              <w:pStyle w:val="PwCNormal"/>
              <w:numPr>
                <w:ilvl w:val="0"/>
                <w:numId w:val="0"/>
              </w:numPr>
              <w:spacing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en-GB"/>
              </w:rPr>
            </w:pPr>
            <w:r w:rsidRPr="001156F9">
              <w:rPr>
                <w:rFonts w:asciiTheme="minorHAnsi" w:hAnsiTheme="minorHAnsi" w:cstheme="minorHAnsi"/>
                <w:lang w:val="en-GB"/>
              </w:rPr>
              <w:t>Action</w:t>
            </w:r>
          </w:p>
        </w:tc>
        <w:tc>
          <w:tcPr>
            <w:tcW w:w="3485" w:type="dxa"/>
          </w:tcPr>
          <w:p w:rsidRPr="001156F9" w:rsidR="000C006C" w:rsidP="00483F75" w:rsidRDefault="000C006C" w14:paraId="3FE6D5F3" w14:textId="77777777">
            <w:pPr>
              <w:pStyle w:val="PwCNormal"/>
              <w:numPr>
                <w:ilvl w:val="0"/>
                <w:numId w:val="0"/>
              </w:numPr>
              <w:spacing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en-GB"/>
              </w:rPr>
            </w:pPr>
            <w:r w:rsidRPr="001156F9">
              <w:rPr>
                <w:rFonts w:asciiTheme="minorHAnsi" w:hAnsiTheme="minorHAnsi" w:cstheme="minorHAnsi"/>
                <w:lang w:val="en-GB"/>
              </w:rPr>
              <w:t>Priority</w:t>
            </w:r>
          </w:p>
        </w:tc>
      </w:tr>
      <w:tr w:rsidRPr="001156F9" w:rsidR="000C006C" w:rsidTr="00483F75" w14:paraId="79341575" w14:textId="77777777">
        <w:trPr>
          <w:trHeight w:val="892"/>
        </w:trPr>
        <w:tc>
          <w:tcPr>
            <w:cnfStyle w:val="001000000000" w:firstRow="0" w:lastRow="0" w:firstColumn="1" w:lastColumn="0" w:oddVBand="0" w:evenVBand="0" w:oddHBand="0" w:evenHBand="0" w:firstRowFirstColumn="0" w:firstRowLastColumn="0" w:lastRowFirstColumn="0" w:lastRowLastColumn="0"/>
            <w:tcW w:w="1737" w:type="dxa"/>
            <w:vMerge w:val="restart"/>
          </w:tcPr>
          <w:p w:rsidRPr="001156F9" w:rsidR="000C006C" w:rsidP="00483F75" w:rsidRDefault="000C006C" w14:paraId="4F847673" w14:textId="77777777">
            <w:pPr>
              <w:pStyle w:val="PwCNormal"/>
              <w:numPr>
                <w:ilvl w:val="0"/>
                <w:numId w:val="0"/>
              </w:numPr>
              <w:spacing w:after="80"/>
              <w:rPr>
                <w:rFonts w:asciiTheme="minorHAnsi" w:hAnsiTheme="minorHAnsi" w:cstheme="minorHAnsi"/>
                <w:lang w:val="en-GB"/>
              </w:rPr>
            </w:pPr>
            <w:r w:rsidRPr="001156F9">
              <w:rPr>
                <w:rFonts w:asciiTheme="minorHAnsi" w:hAnsiTheme="minorHAnsi" w:cstheme="minorHAnsi"/>
                <w:lang w:val="en-GB"/>
              </w:rPr>
              <w:t>Transparency</w:t>
            </w:r>
          </w:p>
          <w:p w:rsidRPr="001156F9" w:rsidR="000C006C" w:rsidP="000C006C" w:rsidRDefault="000C006C" w14:paraId="27C0EA07" w14:textId="77777777">
            <w:pPr>
              <w:pStyle w:val="PwCNormal"/>
              <w:numPr>
                <w:ilvl w:val="0"/>
                <w:numId w:val="1"/>
              </w:numPr>
              <w:spacing w:after="80"/>
              <w:ind w:left="0"/>
              <w:rPr>
                <w:rFonts w:asciiTheme="minorHAnsi" w:hAnsiTheme="minorHAnsi" w:cstheme="minorHAnsi"/>
                <w:lang w:val="en-GB"/>
              </w:rPr>
            </w:pPr>
          </w:p>
        </w:tc>
        <w:tc>
          <w:tcPr>
            <w:tcW w:w="2480" w:type="dxa"/>
          </w:tcPr>
          <w:p w:rsidRPr="001156F9" w:rsidR="000C006C" w:rsidP="00483F75" w:rsidRDefault="000C006C" w14:paraId="2EDED6A0" w14:textId="77777777">
            <w:pPr>
              <w:spacing w:after="80"/>
              <w:ind w:left="64"/>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eastAsia="en-AU"/>
              </w:rPr>
            </w:pPr>
            <w:r w:rsidRPr="001156F9">
              <w:rPr>
                <w:rFonts w:asciiTheme="minorHAnsi" w:hAnsiTheme="minorHAnsi"/>
                <w:color w:val="000000"/>
                <w:lang w:eastAsia="en-AU"/>
              </w:rPr>
              <w:t>1.1 Improve Understanding</w:t>
            </w:r>
          </w:p>
        </w:tc>
        <w:tc>
          <w:tcPr>
            <w:tcW w:w="2381" w:type="dxa"/>
            <w:vMerge w:val="restart"/>
          </w:tcPr>
          <w:p w:rsidRPr="001156F9" w:rsidR="000C006C" w:rsidP="00483F75" w:rsidRDefault="000C006C" w14:paraId="35DC87ED"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156F9">
              <w:rPr>
                <w:rFonts w:asciiTheme="minorHAnsi" w:hAnsiTheme="minorHAnsi" w:cstheme="minorHAnsi"/>
                <w:lang w:val="en-GB"/>
              </w:rPr>
              <w:t>CX research into comprehensibility of data sharing, as well as consumer perceptions regarding trustworthiness and transparency of CDR, as it relates to the Data Standards.</w:t>
            </w:r>
          </w:p>
        </w:tc>
        <w:tc>
          <w:tcPr>
            <w:tcW w:w="3485" w:type="dxa"/>
          </w:tcPr>
          <w:p w:rsidRPr="001156F9" w:rsidR="000C006C" w:rsidP="00483F75" w:rsidRDefault="000C006C" w14:paraId="685753BB"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156F9">
              <w:rPr>
                <w:rFonts w:asciiTheme="minorHAnsi" w:hAnsiTheme="minorHAnsi" w:cstheme="minorHAnsi"/>
                <w:lang w:val="en-GB"/>
              </w:rPr>
              <w:t>Critical</w:t>
            </w:r>
          </w:p>
        </w:tc>
      </w:tr>
      <w:tr w:rsidRPr="001156F9" w:rsidR="000C006C" w:rsidTr="00483F75" w14:paraId="1CF77C61" w14:textId="77777777">
        <w:trPr>
          <w:trHeight w:val="892"/>
        </w:trPr>
        <w:tc>
          <w:tcPr>
            <w:cnfStyle w:val="001000000000" w:firstRow="0" w:lastRow="0" w:firstColumn="1" w:lastColumn="0" w:oddVBand="0" w:evenVBand="0" w:oddHBand="0" w:evenHBand="0" w:firstRowFirstColumn="0" w:firstRowLastColumn="0" w:lastRowFirstColumn="0" w:lastRowLastColumn="0"/>
            <w:tcW w:w="1737" w:type="dxa"/>
            <w:vMerge/>
          </w:tcPr>
          <w:p w:rsidRPr="001156F9" w:rsidR="000C006C" w:rsidP="000C006C" w:rsidRDefault="000C006C" w14:paraId="5E281241" w14:textId="77777777">
            <w:pPr>
              <w:pStyle w:val="PwCNormal"/>
              <w:numPr>
                <w:ilvl w:val="0"/>
                <w:numId w:val="1"/>
              </w:numPr>
              <w:spacing w:after="80"/>
              <w:ind w:left="0"/>
              <w:rPr>
                <w:rFonts w:asciiTheme="minorHAnsi" w:hAnsiTheme="minorHAnsi" w:cstheme="minorHAnsi"/>
                <w:lang w:val="en-GB"/>
              </w:rPr>
            </w:pPr>
          </w:p>
        </w:tc>
        <w:tc>
          <w:tcPr>
            <w:tcW w:w="2480" w:type="dxa"/>
          </w:tcPr>
          <w:p w:rsidRPr="001156F9" w:rsidR="000C006C" w:rsidP="00483F75" w:rsidRDefault="000C006C" w14:paraId="42511F0E" w14:textId="77777777">
            <w:pPr>
              <w:spacing w:after="80"/>
              <w:ind w:left="64"/>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lang w:val="en-US" w:eastAsia="en-AU"/>
              </w:rPr>
            </w:pPr>
            <w:r w:rsidRPr="001156F9">
              <w:rPr>
                <w:rFonts w:asciiTheme="minorHAnsi" w:hAnsiTheme="minorHAnsi"/>
                <w:color w:val="000000"/>
                <w:lang w:eastAsia="en-AU"/>
              </w:rPr>
              <w:t xml:space="preserve">1.2 </w:t>
            </w:r>
            <w:r w:rsidRPr="001156F9">
              <w:rPr>
                <w:rFonts w:asciiTheme="minorHAnsi" w:hAnsiTheme="minorHAnsi"/>
              </w:rPr>
              <w:t>Lack of trust</w:t>
            </w:r>
          </w:p>
        </w:tc>
        <w:tc>
          <w:tcPr>
            <w:tcW w:w="2381" w:type="dxa"/>
            <w:vMerge/>
          </w:tcPr>
          <w:p w:rsidRPr="001156F9" w:rsidR="000C006C" w:rsidP="00483F75" w:rsidRDefault="000C006C" w14:paraId="3D2134F4" w14:textId="77777777">
            <w:pPr>
              <w:pStyle w:val="ListBullet"/>
              <w:spacing w:after="80"/>
              <w:ind w:left="5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tc>
        <w:tc>
          <w:tcPr>
            <w:tcW w:w="3485" w:type="dxa"/>
          </w:tcPr>
          <w:p w:rsidRPr="001156F9" w:rsidR="000C006C" w:rsidP="00483F75" w:rsidRDefault="000C006C" w14:paraId="3DF93874"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156F9">
              <w:rPr>
                <w:rFonts w:asciiTheme="minorHAnsi" w:hAnsiTheme="minorHAnsi" w:cstheme="minorHAnsi"/>
                <w:lang w:val="en-GB"/>
              </w:rPr>
              <w:t>Critical</w:t>
            </w:r>
          </w:p>
        </w:tc>
      </w:tr>
      <w:tr w:rsidRPr="001156F9" w:rsidR="000C006C" w:rsidTr="00483F75" w14:paraId="3904D4CB" w14:textId="77777777">
        <w:tc>
          <w:tcPr>
            <w:cnfStyle w:val="001000000000" w:firstRow="0" w:lastRow="0" w:firstColumn="1" w:lastColumn="0" w:oddVBand="0" w:evenVBand="0" w:oddHBand="0" w:evenHBand="0" w:firstRowFirstColumn="0" w:firstRowLastColumn="0" w:lastRowFirstColumn="0" w:lastRowLastColumn="0"/>
            <w:tcW w:w="1737" w:type="dxa"/>
            <w:vMerge/>
          </w:tcPr>
          <w:p w:rsidRPr="001156F9" w:rsidR="000C006C" w:rsidP="000C006C" w:rsidRDefault="000C006C" w14:paraId="5D6B5E97" w14:textId="77777777">
            <w:pPr>
              <w:pStyle w:val="PwCNormal"/>
              <w:numPr>
                <w:ilvl w:val="0"/>
                <w:numId w:val="1"/>
              </w:numPr>
              <w:spacing w:after="80"/>
              <w:ind w:left="0"/>
              <w:rPr>
                <w:rFonts w:asciiTheme="minorHAnsi" w:hAnsiTheme="minorHAnsi" w:cstheme="minorHAnsi"/>
                <w:lang w:val="en-GB"/>
              </w:rPr>
            </w:pPr>
          </w:p>
        </w:tc>
        <w:tc>
          <w:tcPr>
            <w:tcW w:w="2480" w:type="dxa"/>
          </w:tcPr>
          <w:p w:rsidRPr="001156F9" w:rsidR="000C006C" w:rsidP="00483F75" w:rsidRDefault="000C006C" w14:paraId="7B18C063"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156F9">
              <w:rPr>
                <w:rFonts w:asciiTheme="minorHAnsi" w:hAnsiTheme="minorHAnsi" w:cstheme="minorHAnsi"/>
                <w:snapToGrid/>
                <w:color w:val="000000"/>
                <w:lang w:val="en-US" w:eastAsia="en-AU"/>
              </w:rPr>
              <w:t xml:space="preserve">1.3 Consider showing how the CDR recommends that participants address digital and physical safety. </w:t>
            </w:r>
          </w:p>
        </w:tc>
        <w:tc>
          <w:tcPr>
            <w:tcW w:w="2381" w:type="dxa"/>
            <w:vMerge/>
          </w:tcPr>
          <w:p w:rsidRPr="001156F9" w:rsidR="000C006C" w:rsidP="00483F75" w:rsidRDefault="000C006C" w14:paraId="7F9987A1" w14:textId="77777777">
            <w:pPr>
              <w:pStyle w:val="ListBullet"/>
              <w:spacing w:after="80"/>
              <w:ind w:left="5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n-GB"/>
              </w:rPr>
            </w:pPr>
          </w:p>
        </w:tc>
        <w:tc>
          <w:tcPr>
            <w:tcW w:w="3485" w:type="dxa"/>
          </w:tcPr>
          <w:p w:rsidRPr="001156F9" w:rsidR="000C006C" w:rsidP="00483F75" w:rsidRDefault="000C006C" w14:paraId="3FF51A75"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156F9">
              <w:rPr>
                <w:rFonts w:asciiTheme="minorHAnsi" w:hAnsiTheme="minorHAnsi" w:cstheme="minorHAnsi"/>
                <w:lang w:val="en-GB"/>
              </w:rPr>
              <w:t>Critical</w:t>
            </w:r>
          </w:p>
        </w:tc>
      </w:tr>
      <w:tr w:rsidRPr="001156F9" w:rsidR="000C006C" w:rsidTr="00483F75" w14:paraId="10FABBFD" w14:textId="77777777">
        <w:tc>
          <w:tcPr>
            <w:cnfStyle w:val="001000000000" w:firstRow="0" w:lastRow="0" w:firstColumn="1" w:lastColumn="0" w:oddVBand="0" w:evenVBand="0" w:oddHBand="0" w:evenHBand="0" w:firstRowFirstColumn="0" w:firstRowLastColumn="0" w:lastRowFirstColumn="0" w:lastRowLastColumn="0"/>
            <w:tcW w:w="1737" w:type="dxa"/>
            <w:vMerge/>
          </w:tcPr>
          <w:p w:rsidRPr="001156F9" w:rsidR="000C006C" w:rsidP="000C006C" w:rsidRDefault="000C006C" w14:paraId="096444DE" w14:textId="77777777">
            <w:pPr>
              <w:pStyle w:val="PwCNormal"/>
              <w:numPr>
                <w:ilvl w:val="0"/>
                <w:numId w:val="1"/>
              </w:numPr>
              <w:spacing w:after="80"/>
              <w:ind w:left="0"/>
              <w:rPr>
                <w:rFonts w:asciiTheme="minorHAnsi" w:hAnsiTheme="minorHAnsi" w:cstheme="minorHAnsi"/>
                <w:lang w:val="en-GB"/>
              </w:rPr>
            </w:pPr>
          </w:p>
        </w:tc>
        <w:tc>
          <w:tcPr>
            <w:tcW w:w="2480" w:type="dxa"/>
          </w:tcPr>
          <w:p w:rsidRPr="001156F9" w:rsidR="000C006C" w:rsidP="000C006C" w:rsidRDefault="000C006C" w14:paraId="66B2B94F" w14:textId="77777777">
            <w:pPr>
              <w:numPr>
                <w:ilvl w:val="0"/>
                <w:numId w:val="19"/>
              </w:numPr>
              <w:tabs>
                <w:tab w:val="clear" w:pos="720"/>
                <w:tab w:val="num" w:pos="360"/>
              </w:tabs>
              <w:spacing w:after="80"/>
              <w:ind w:left="64" w:hanging="72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val="en-US" w:eastAsia="en-AU"/>
              </w:rPr>
            </w:pPr>
            <w:r w:rsidRPr="001156F9">
              <w:rPr>
                <w:rFonts w:asciiTheme="minorHAnsi" w:hAnsiTheme="minorHAnsi"/>
                <w:color w:val="000000"/>
                <w:lang w:val="en-US" w:eastAsia="en-AU"/>
              </w:rPr>
              <w:t>1.4 Allow option for personalization</w:t>
            </w:r>
          </w:p>
        </w:tc>
        <w:tc>
          <w:tcPr>
            <w:tcW w:w="2381" w:type="dxa"/>
            <w:vMerge/>
          </w:tcPr>
          <w:p w:rsidRPr="001156F9" w:rsidR="000C006C" w:rsidP="00483F75" w:rsidRDefault="000C006C" w14:paraId="717C0288" w14:textId="77777777">
            <w:pPr>
              <w:pStyle w:val="ListBullet"/>
              <w:numPr>
                <w:ilvl w:val="0"/>
                <w:numId w:val="0"/>
              </w:numPr>
              <w:spacing w:after="80"/>
              <w:ind w:left="5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E0301E" w:themeColor="accent6"/>
              </w:rPr>
            </w:pPr>
          </w:p>
        </w:tc>
        <w:tc>
          <w:tcPr>
            <w:tcW w:w="3485" w:type="dxa"/>
          </w:tcPr>
          <w:p w:rsidRPr="001156F9" w:rsidR="000C006C" w:rsidP="00483F75" w:rsidRDefault="000C006C" w14:paraId="3D7A1EC2"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156F9">
              <w:rPr>
                <w:rFonts w:asciiTheme="minorHAnsi" w:hAnsiTheme="minorHAnsi" w:cstheme="minorHAnsi"/>
                <w:lang w:val="en-GB"/>
              </w:rPr>
              <w:t>Essential</w:t>
            </w:r>
          </w:p>
        </w:tc>
      </w:tr>
      <w:tr w:rsidRPr="001156F9" w:rsidR="000C006C" w:rsidTr="00483F75" w14:paraId="73518DB5" w14:textId="77777777">
        <w:tc>
          <w:tcPr>
            <w:cnfStyle w:val="001000000000" w:firstRow="0" w:lastRow="0" w:firstColumn="1" w:lastColumn="0" w:oddVBand="0" w:evenVBand="0" w:oddHBand="0" w:evenHBand="0" w:firstRowFirstColumn="0" w:firstRowLastColumn="0" w:lastRowFirstColumn="0" w:lastRowLastColumn="0"/>
            <w:tcW w:w="1737" w:type="dxa"/>
            <w:vMerge/>
          </w:tcPr>
          <w:p w:rsidRPr="001156F9" w:rsidR="000C006C" w:rsidP="000C006C" w:rsidRDefault="000C006C" w14:paraId="7E0AA5A2" w14:textId="77777777">
            <w:pPr>
              <w:pStyle w:val="PwCNormal"/>
              <w:numPr>
                <w:ilvl w:val="0"/>
                <w:numId w:val="1"/>
              </w:numPr>
              <w:spacing w:after="80"/>
              <w:ind w:left="0"/>
              <w:rPr>
                <w:rFonts w:asciiTheme="minorHAnsi" w:hAnsiTheme="minorHAnsi" w:cstheme="minorHAnsi"/>
                <w:lang w:val="en-GB"/>
              </w:rPr>
            </w:pPr>
          </w:p>
        </w:tc>
        <w:tc>
          <w:tcPr>
            <w:tcW w:w="2480" w:type="dxa"/>
          </w:tcPr>
          <w:p w:rsidRPr="001156F9" w:rsidR="000C006C" w:rsidP="00483F75" w:rsidRDefault="000C006C" w14:paraId="7981380D" w14:textId="77777777">
            <w:pPr>
              <w:spacing w:after="80"/>
              <w:ind w:left="64"/>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AU"/>
              </w:rPr>
            </w:pPr>
            <w:r w:rsidRPr="001156F9">
              <w:rPr>
                <w:rFonts w:asciiTheme="minorHAnsi" w:hAnsiTheme="minorHAnsi"/>
              </w:rPr>
              <w:t>1.5 General experience with sharing data online</w:t>
            </w:r>
          </w:p>
        </w:tc>
        <w:tc>
          <w:tcPr>
            <w:tcW w:w="2381" w:type="dxa"/>
          </w:tcPr>
          <w:p w:rsidRPr="001156F9" w:rsidR="000C006C" w:rsidP="00483F75" w:rsidRDefault="000C006C" w14:paraId="6D5042D5"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156F9">
              <w:rPr>
                <w:rFonts w:asciiTheme="minorHAnsi" w:hAnsiTheme="minorHAnsi" w:cstheme="minorHAnsi"/>
                <w:lang w:val="en-GB"/>
              </w:rPr>
              <w:t>CDR to lead the conversation and set the standard</w:t>
            </w:r>
          </w:p>
        </w:tc>
        <w:tc>
          <w:tcPr>
            <w:tcW w:w="3485" w:type="dxa"/>
          </w:tcPr>
          <w:p w:rsidRPr="001156F9" w:rsidR="000C006C" w:rsidP="00483F75" w:rsidRDefault="000C006C" w14:paraId="3B20C5D0"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156F9">
              <w:rPr>
                <w:rFonts w:asciiTheme="minorHAnsi" w:hAnsiTheme="minorHAnsi" w:cstheme="minorHAnsi"/>
                <w:lang w:val="en-GB"/>
              </w:rPr>
              <w:t>Recommended</w:t>
            </w:r>
          </w:p>
        </w:tc>
      </w:tr>
      <w:tr w:rsidRPr="001156F9" w:rsidR="000C006C" w:rsidTr="00483F75" w14:paraId="239C259F" w14:textId="77777777">
        <w:tc>
          <w:tcPr>
            <w:cnfStyle w:val="001000000000" w:firstRow="0" w:lastRow="0" w:firstColumn="1" w:lastColumn="0" w:oddVBand="0" w:evenVBand="0" w:oddHBand="0" w:evenHBand="0" w:firstRowFirstColumn="0" w:firstRowLastColumn="0" w:lastRowFirstColumn="0" w:lastRowLastColumn="0"/>
            <w:tcW w:w="1737" w:type="dxa"/>
            <w:vMerge/>
          </w:tcPr>
          <w:p w:rsidRPr="001156F9" w:rsidR="000C006C" w:rsidP="00483F75" w:rsidRDefault="000C006C" w14:paraId="1AB64E18" w14:textId="77777777">
            <w:pPr>
              <w:pStyle w:val="PwCNormal"/>
              <w:numPr>
                <w:ilvl w:val="0"/>
                <w:numId w:val="0"/>
              </w:numPr>
              <w:spacing w:after="80"/>
              <w:rPr>
                <w:rFonts w:asciiTheme="minorHAnsi" w:hAnsiTheme="minorHAnsi" w:cstheme="minorHAnsi"/>
                <w:lang w:val="en-GB"/>
              </w:rPr>
            </w:pPr>
          </w:p>
        </w:tc>
        <w:tc>
          <w:tcPr>
            <w:tcW w:w="2480" w:type="dxa"/>
          </w:tcPr>
          <w:p w:rsidRPr="001156F9" w:rsidR="000C006C" w:rsidP="00483F75" w:rsidRDefault="000C006C" w14:paraId="5EDEB394"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156F9">
              <w:rPr>
                <w:rFonts w:asciiTheme="minorHAnsi" w:hAnsiTheme="minorHAnsi" w:cstheme="minorHAnsi"/>
                <w:lang w:val="en-GB"/>
              </w:rPr>
              <w:t xml:space="preserve">2.1 Instructions </w:t>
            </w:r>
          </w:p>
        </w:tc>
        <w:tc>
          <w:tcPr>
            <w:tcW w:w="2381" w:type="dxa"/>
          </w:tcPr>
          <w:p w:rsidRPr="001156F9" w:rsidR="000C006C" w:rsidP="00483F75" w:rsidRDefault="000C006C" w14:paraId="209C0BD6"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156F9">
              <w:rPr>
                <w:rFonts w:asciiTheme="minorHAnsi" w:hAnsiTheme="minorHAnsi" w:cstheme="minorHAnsi"/>
                <w:lang w:val="en-GB"/>
              </w:rPr>
              <w:t>Provide clear instructions throughout the process</w:t>
            </w:r>
          </w:p>
        </w:tc>
        <w:tc>
          <w:tcPr>
            <w:tcW w:w="3485" w:type="dxa"/>
          </w:tcPr>
          <w:p w:rsidRPr="001156F9" w:rsidR="000C006C" w:rsidP="00483F75" w:rsidRDefault="000C006C" w14:paraId="1D7EC6C5"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156F9">
              <w:rPr>
                <w:rFonts w:asciiTheme="minorHAnsi" w:hAnsiTheme="minorHAnsi" w:cstheme="minorHAnsi"/>
                <w:lang w:val="en-GB"/>
              </w:rPr>
              <w:t>Essential</w:t>
            </w:r>
          </w:p>
        </w:tc>
      </w:tr>
      <w:tr w:rsidRPr="001156F9" w:rsidR="000C006C" w:rsidTr="00483F75" w14:paraId="6FF88575" w14:textId="77777777">
        <w:tc>
          <w:tcPr>
            <w:cnfStyle w:val="001000000000" w:firstRow="0" w:lastRow="0" w:firstColumn="1" w:lastColumn="0" w:oddVBand="0" w:evenVBand="0" w:oddHBand="0" w:evenHBand="0" w:firstRowFirstColumn="0" w:firstRowLastColumn="0" w:lastRowFirstColumn="0" w:lastRowLastColumn="0"/>
            <w:tcW w:w="1737" w:type="dxa"/>
            <w:vMerge w:val="restart"/>
          </w:tcPr>
          <w:p w:rsidRPr="001156F9" w:rsidR="000C006C" w:rsidP="00483F75" w:rsidRDefault="000C006C" w14:paraId="385C0520" w14:textId="77777777">
            <w:pPr>
              <w:pStyle w:val="PwCNormal"/>
              <w:numPr>
                <w:ilvl w:val="0"/>
                <w:numId w:val="0"/>
              </w:numPr>
              <w:spacing w:after="80"/>
              <w:rPr>
                <w:rFonts w:asciiTheme="minorHAnsi" w:hAnsiTheme="minorHAnsi" w:cstheme="minorHAnsi"/>
                <w:lang w:val="en-GB"/>
              </w:rPr>
            </w:pPr>
            <w:r w:rsidRPr="001156F9">
              <w:rPr>
                <w:rFonts w:asciiTheme="minorHAnsi" w:hAnsiTheme="minorHAnsi" w:cstheme="minorHAnsi"/>
                <w:lang w:val="en-GB"/>
              </w:rPr>
              <w:t>Clarity and understanding</w:t>
            </w:r>
          </w:p>
          <w:p w:rsidRPr="001156F9" w:rsidR="000C006C" w:rsidP="000C006C" w:rsidRDefault="000C006C" w14:paraId="3D3D7797" w14:textId="77777777">
            <w:pPr>
              <w:pStyle w:val="PwCNormal"/>
              <w:numPr>
                <w:ilvl w:val="0"/>
                <w:numId w:val="1"/>
              </w:numPr>
              <w:spacing w:after="80"/>
              <w:ind w:left="0"/>
              <w:rPr>
                <w:rFonts w:asciiTheme="minorHAnsi" w:hAnsiTheme="minorHAnsi" w:cstheme="minorHAnsi"/>
                <w:lang w:val="en-GB"/>
              </w:rPr>
            </w:pPr>
          </w:p>
        </w:tc>
        <w:tc>
          <w:tcPr>
            <w:tcW w:w="2480" w:type="dxa"/>
          </w:tcPr>
          <w:p w:rsidRPr="001156F9" w:rsidR="000C006C" w:rsidP="00483F75" w:rsidRDefault="000C006C" w14:paraId="7A21A2F6"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156F9">
              <w:rPr>
                <w:rFonts w:asciiTheme="minorHAnsi" w:hAnsiTheme="minorHAnsi" w:cstheme="minorHAnsi"/>
                <w:lang w:val="en-GB"/>
              </w:rPr>
              <w:t>2.2 Language Use</w:t>
            </w:r>
          </w:p>
        </w:tc>
        <w:tc>
          <w:tcPr>
            <w:tcW w:w="2381" w:type="dxa"/>
          </w:tcPr>
          <w:p w:rsidRPr="001156F9" w:rsidR="000C006C" w:rsidP="00483F75" w:rsidRDefault="000C006C" w14:paraId="77759FAA"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156F9">
              <w:rPr>
                <w:rFonts w:asciiTheme="minorHAnsi" w:hAnsiTheme="minorHAnsi" w:cstheme="minorHAnsi"/>
                <w:lang w:val="en-GB"/>
              </w:rPr>
              <w:t>Simplify language</w:t>
            </w:r>
          </w:p>
        </w:tc>
        <w:tc>
          <w:tcPr>
            <w:tcW w:w="3485" w:type="dxa"/>
          </w:tcPr>
          <w:p w:rsidRPr="001156F9" w:rsidR="000C006C" w:rsidP="00483F75" w:rsidRDefault="000C006C" w14:paraId="767B36F6"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156F9">
              <w:rPr>
                <w:rFonts w:asciiTheme="minorHAnsi" w:hAnsiTheme="minorHAnsi" w:cstheme="minorHAnsi"/>
                <w:lang w:val="en-GB"/>
              </w:rPr>
              <w:t>Essential</w:t>
            </w:r>
          </w:p>
        </w:tc>
      </w:tr>
      <w:tr w:rsidRPr="001156F9" w:rsidR="000C006C" w:rsidTr="00483F75" w14:paraId="6F093A77" w14:textId="77777777">
        <w:tc>
          <w:tcPr>
            <w:cnfStyle w:val="001000000000" w:firstRow="0" w:lastRow="0" w:firstColumn="1" w:lastColumn="0" w:oddVBand="0" w:evenVBand="0" w:oddHBand="0" w:evenHBand="0" w:firstRowFirstColumn="0" w:firstRowLastColumn="0" w:lastRowFirstColumn="0" w:lastRowLastColumn="0"/>
            <w:tcW w:w="1737" w:type="dxa"/>
            <w:vMerge/>
          </w:tcPr>
          <w:p w:rsidRPr="001156F9" w:rsidR="000C006C" w:rsidP="000C006C" w:rsidRDefault="000C006C" w14:paraId="2C24D0B7" w14:textId="77777777">
            <w:pPr>
              <w:pStyle w:val="PwCNormal"/>
              <w:numPr>
                <w:ilvl w:val="0"/>
                <w:numId w:val="1"/>
              </w:numPr>
              <w:spacing w:after="80"/>
              <w:ind w:left="0"/>
              <w:rPr>
                <w:rFonts w:asciiTheme="minorHAnsi" w:hAnsiTheme="minorHAnsi" w:cstheme="minorHAnsi"/>
                <w:lang w:val="en-GB"/>
              </w:rPr>
            </w:pPr>
          </w:p>
        </w:tc>
        <w:tc>
          <w:tcPr>
            <w:tcW w:w="2480" w:type="dxa"/>
          </w:tcPr>
          <w:p w:rsidRPr="001156F9" w:rsidR="000C006C" w:rsidP="00483F75" w:rsidRDefault="000C006C" w14:paraId="1B67D606"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156F9">
              <w:rPr>
                <w:rFonts w:asciiTheme="minorHAnsi" w:hAnsiTheme="minorHAnsi" w:cstheme="minorHAnsi"/>
                <w:lang w:val="en-GB"/>
              </w:rPr>
              <w:t>2.3Unclear visual content</w:t>
            </w:r>
          </w:p>
        </w:tc>
        <w:tc>
          <w:tcPr>
            <w:tcW w:w="2381" w:type="dxa"/>
          </w:tcPr>
          <w:p w:rsidRPr="001156F9" w:rsidR="000C006C" w:rsidP="00483F75" w:rsidRDefault="000C006C" w14:paraId="798A59FA"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156F9">
              <w:rPr>
                <w:rFonts w:asciiTheme="minorHAnsi" w:hAnsiTheme="minorHAnsi" w:cstheme="minorHAnsi"/>
                <w:lang w:val="en-GB"/>
              </w:rPr>
              <w:t>Review visuals to match task and text meaning</w:t>
            </w:r>
          </w:p>
        </w:tc>
        <w:tc>
          <w:tcPr>
            <w:tcW w:w="3485" w:type="dxa"/>
          </w:tcPr>
          <w:p w:rsidRPr="001156F9" w:rsidR="000C006C" w:rsidP="00483F75" w:rsidRDefault="000C006C" w14:paraId="4BAAB5B2"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156F9">
              <w:rPr>
                <w:rFonts w:asciiTheme="minorHAnsi" w:hAnsiTheme="minorHAnsi" w:cstheme="minorHAnsi"/>
                <w:lang w:val="en-GB"/>
              </w:rPr>
              <w:t>Essential</w:t>
            </w:r>
          </w:p>
        </w:tc>
      </w:tr>
      <w:tr w:rsidRPr="001156F9" w:rsidR="000C006C" w:rsidTr="00483F75" w14:paraId="1EA269C9" w14:textId="77777777">
        <w:tc>
          <w:tcPr>
            <w:cnfStyle w:val="001000000000" w:firstRow="0" w:lastRow="0" w:firstColumn="1" w:lastColumn="0" w:oddVBand="0" w:evenVBand="0" w:oddHBand="0" w:evenHBand="0" w:firstRowFirstColumn="0" w:firstRowLastColumn="0" w:lastRowFirstColumn="0" w:lastRowLastColumn="0"/>
            <w:tcW w:w="1737" w:type="dxa"/>
            <w:vMerge/>
          </w:tcPr>
          <w:p w:rsidRPr="001156F9" w:rsidR="000C006C" w:rsidP="000C006C" w:rsidRDefault="000C006C" w14:paraId="5014C80A" w14:textId="77777777">
            <w:pPr>
              <w:pStyle w:val="PwCNormal"/>
              <w:numPr>
                <w:ilvl w:val="0"/>
                <w:numId w:val="1"/>
              </w:numPr>
              <w:spacing w:after="80"/>
              <w:ind w:left="0"/>
              <w:rPr>
                <w:rFonts w:asciiTheme="minorHAnsi" w:hAnsiTheme="minorHAnsi" w:cstheme="minorHAnsi"/>
                <w:lang w:val="en-GB"/>
              </w:rPr>
            </w:pPr>
          </w:p>
        </w:tc>
        <w:tc>
          <w:tcPr>
            <w:tcW w:w="2480" w:type="dxa"/>
          </w:tcPr>
          <w:p w:rsidRPr="001156F9" w:rsidR="000C006C" w:rsidP="00483F75" w:rsidRDefault="000C006C" w14:paraId="484AF52F"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156F9">
              <w:rPr>
                <w:rFonts w:asciiTheme="minorHAnsi" w:hAnsiTheme="minorHAnsi" w:cstheme="minorHAnsi"/>
              </w:rPr>
              <w:t>2.4 Financial and digital literacy</w:t>
            </w:r>
          </w:p>
        </w:tc>
        <w:tc>
          <w:tcPr>
            <w:tcW w:w="2381" w:type="dxa"/>
          </w:tcPr>
          <w:p w:rsidRPr="001156F9" w:rsidR="000C006C" w:rsidP="00483F75" w:rsidRDefault="000C006C" w14:paraId="7EACE5D6"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156F9">
              <w:rPr>
                <w:rFonts w:asciiTheme="minorHAnsi" w:hAnsiTheme="minorHAnsi" w:cstheme="minorHAnsi"/>
              </w:rPr>
              <w:t>Omni-channel experience and education</w:t>
            </w:r>
          </w:p>
        </w:tc>
        <w:tc>
          <w:tcPr>
            <w:tcW w:w="3485" w:type="dxa"/>
          </w:tcPr>
          <w:p w:rsidRPr="001156F9" w:rsidR="000C006C" w:rsidP="00483F75" w:rsidRDefault="000C006C" w14:paraId="49FA33CF"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156F9">
              <w:rPr>
                <w:rFonts w:asciiTheme="minorHAnsi" w:hAnsiTheme="minorHAnsi" w:cstheme="minorHAnsi"/>
                <w:lang w:val="en-GB"/>
              </w:rPr>
              <w:t>Recommended</w:t>
            </w:r>
          </w:p>
        </w:tc>
      </w:tr>
      <w:tr w:rsidRPr="001156F9" w:rsidR="000C006C" w:rsidTr="00483F75" w14:paraId="0568D597" w14:textId="77777777">
        <w:tc>
          <w:tcPr>
            <w:cnfStyle w:val="001000000000" w:firstRow="0" w:lastRow="0" w:firstColumn="1" w:lastColumn="0" w:oddVBand="0" w:evenVBand="0" w:oddHBand="0" w:evenHBand="0" w:firstRowFirstColumn="0" w:firstRowLastColumn="0" w:lastRowFirstColumn="0" w:lastRowLastColumn="0"/>
            <w:tcW w:w="1737" w:type="dxa"/>
            <w:vMerge/>
          </w:tcPr>
          <w:p w:rsidRPr="001156F9" w:rsidR="000C006C" w:rsidP="00483F75" w:rsidRDefault="000C006C" w14:paraId="57C118D6" w14:textId="77777777">
            <w:pPr>
              <w:pStyle w:val="PwCNormal"/>
              <w:numPr>
                <w:ilvl w:val="0"/>
                <w:numId w:val="0"/>
              </w:numPr>
              <w:spacing w:after="80"/>
              <w:rPr>
                <w:rFonts w:asciiTheme="minorHAnsi" w:hAnsiTheme="minorHAnsi" w:cstheme="minorHAnsi"/>
                <w:lang w:val="en-GB"/>
              </w:rPr>
            </w:pPr>
          </w:p>
        </w:tc>
        <w:tc>
          <w:tcPr>
            <w:tcW w:w="2480" w:type="dxa"/>
          </w:tcPr>
          <w:p w:rsidRPr="001156F9" w:rsidR="000C006C" w:rsidP="00483F75" w:rsidRDefault="000C006C" w14:paraId="25E2BB43"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156F9">
              <w:rPr>
                <w:rFonts w:asciiTheme="minorHAnsi" w:hAnsiTheme="minorHAnsi" w:cstheme="minorHAnsi"/>
              </w:rPr>
              <w:t>3.1 Input controls</w:t>
            </w:r>
          </w:p>
        </w:tc>
        <w:tc>
          <w:tcPr>
            <w:tcW w:w="2381" w:type="dxa"/>
          </w:tcPr>
          <w:p w:rsidRPr="001156F9" w:rsidR="000C006C" w:rsidP="00483F75" w:rsidRDefault="000C006C" w14:paraId="0636B3F0"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156F9">
              <w:rPr>
                <w:rFonts w:asciiTheme="minorHAnsi" w:hAnsiTheme="minorHAnsi" w:cstheme="minorHAnsi"/>
                <w:lang w:val="en-GB"/>
              </w:rPr>
              <w:t>Make controls and buttons consistent</w:t>
            </w:r>
          </w:p>
        </w:tc>
        <w:tc>
          <w:tcPr>
            <w:tcW w:w="3485" w:type="dxa"/>
          </w:tcPr>
          <w:p w:rsidRPr="001156F9" w:rsidR="000C006C" w:rsidP="00483F75" w:rsidRDefault="000C006C" w14:paraId="7BA1B34F"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156F9">
              <w:rPr>
                <w:rFonts w:asciiTheme="minorHAnsi" w:hAnsiTheme="minorHAnsi" w:cstheme="minorHAnsi"/>
                <w:lang w:val="en-GB"/>
              </w:rPr>
              <w:t>Essential</w:t>
            </w:r>
          </w:p>
        </w:tc>
      </w:tr>
      <w:tr w:rsidRPr="001156F9" w:rsidR="000C006C" w:rsidTr="00483F75" w14:paraId="7812053E" w14:textId="77777777">
        <w:tc>
          <w:tcPr>
            <w:cnfStyle w:val="001000000000" w:firstRow="0" w:lastRow="0" w:firstColumn="1" w:lastColumn="0" w:oddVBand="0" w:evenVBand="0" w:oddHBand="0" w:evenHBand="0" w:firstRowFirstColumn="0" w:firstRowLastColumn="0" w:lastRowFirstColumn="0" w:lastRowLastColumn="0"/>
            <w:tcW w:w="1737" w:type="dxa"/>
          </w:tcPr>
          <w:p w:rsidRPr="001156F9" w:rsidR="000C006C" w:rsidP="00483F75" w:rsidRDefault="000C006C" w14:paraId="21D6A6F2" w14:textId="77777777">
            <w:pPr>
              <w:pStyle w:val="PwCNormal"/>
              <w:numPr>
                <w:ilvl w:val="0"/>
                <w:numId w:val="0"/>
              </w:numPr>
              <w:spacing w:after="80"/>
              <w:rPr>
                <w:rFonts w:asciiTheme="minorHAnsi" w:hAnsiTheme="minorHAnsi" w:cstheme="minorHAnsi"/>
                <w:lang w:val="en-GB"/>
              </w:rPr>
            </w:pPr>
            <w:r w:rsidRPr="001156F9">
              <w:rPr>
                <w:rFonts w:asciiTheme="minorHAnsi" w:hAnsiTheme="minorHAnsi" w:cstheme="minorHAnsi"/>
                <w:lang w:val="en-GB"/>
              </w:rPr>
              <w:t>Consistency</w:t>
            </w:r>
          </w:p>
        </w:tc>
        <w:tc>
          <w:tcPr>
            <w:tcW w:w="2480" w:type="dxa"/>
          </w:tcPr>
          <w:p w:rsidRPr="001156F9" w:rsidR="000C006C" w:rsidP="00483F75" w:rsidRDefault="000C006C" w14:paraId="42CF6862"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156F9">
              <w:rPr>
                <w:rFonts w:asciiTheme="minorHAnsi" w:hAnsiTheme="minorHAnsi" w:cstheme="minorHAnsi"/>
              </w:rPr>
              <w:t>4.1 Inaccessible controls</w:t>
            </w:r>
          </w:p>
        </w:tc>
        <w:tc>
          <w:tcPr>
            <w:tcW w:w="2381" w:type="dxa"/>
          </w:tcPr>
          <w:p w:rsidRPr="001156F9" w:rsidR="000C006C" w:rsidP="00483F75" w:rsidRDefault="000C006C" w14:paraId="29E4429B"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156F9">
              <w:rPr>
                <w:rFonts w:asciiTheme="minorHAnsi" w:hAnsiTheme="minorHAnsi" w:cstheme="minorHAnsi"/>
                <w:lang w:val="en-US"/>
              </w:rPr>
              <w:t>Consumer Testing, for all features and functions available, during Production Verification and Acceptance Testing</w:t>
            </w:r>
          </w:p>
        </w:tc>
        <w:tc>
          <w:tcPr>
            <w:tcW w:w="3485" w:type="dxa"/>
          </w:tcPr>
          <w:p w:rsidRPr="001156F9" w:rsidR="000C006C" w:rsidP="00483F75" w:rsidRDefault="000C006C" w14:paraId="34DC0755"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156F9">
              <w:rPr>
                <w:rFonts w:asciiTheme="minorHAnsi" w:hAnsiTheme="minorHAnsi" w:cstheme="minorHAnsi"/>
                <w:lang w:val="en-GB"/>
              </w:rPr>
              <w:t>Essential</w:t>
            </w:r>
          </w:p>
        </w:tc>
      </w:tr>
      <w:tr w:rsidRPr="001156F9" w:rsidR="000C006C" w:rsidTr="00483F75" w14:paraId="200A4743" w14:textId="77777777">
        <w:tc>
          <w:tcPr>
            <w:cnfStyle w:val="001000000000" w:firstRow="0" w:lastRow="0" w:firstColumn="1" w:lastColumn="0" w:oddVBand="0" w:evenVBand="0" w:oddHBand="0" w:evenHBand="0" w:firstRowFirstColumn="0" w:firstRowLastColumn="0" w:lastRowFirstColumn="0" w:lastRowLastColumn="0"/>
            <w:tcW w:w="1737" w:type="dxa"/>
            <w:vMerge w:val="restart"/>
          </w:tcPr>
          <w:p w:rsidRPr="001156F9" w:rsidR="000C006C" w:rsidP="00483F75" w:rsidRDefault="000C006C" w14:paraId="666012A8" w14:textId="77777777">
            <w:pPr>
              <w:pStyle w:val="PwCNormal"/>
              <w:numPr>
                <w:ilvl w:val="0"/>
                <w:numId w:val="0"/>
              </w:numPr>
              <w:spacing w:after="80"/>
              <w:rPr>
                <w:rFonts w:asciiTheme="minorHAnsi" w:hAnsiTheme="minorHAnsi" w:cstheme="minorHAnsi"/>
                <w:lang w:val="en-GB"/>
              </w:rPr>
            </w:pPr>
            <w:r w:rsidRPr="001156F9">
              <w:rPr>
                <w:rFonts w:asciiTheme="minorHAnsi" w:hAnsiTheme="minorHAnsi" w:cstheme="minorHAnsi"/>
                <w:lang w:val="en-GB"/>
              </w:rPr>
              <w:t xml:space="preserve">Visibility </w:t>
            </w:r>
          </w:p>
          <w:p w:rsidRPr="001156F9" w:rsidR="000C006C" w:rsidP="000C006C" w:rsidRDefault="000C006C" w14:paraId="0EB8B00B" w14:textId="77777777">
            <w:pPr>
              <w:pStyle w:val="PwCNormal"/>
              <w:numPr>
                <w:ilvl w:val="0"/>
                <w:numId w:val="1"/>
              </w:numPr>
              <w:spacing w:after="80"/>
              <w:ind w:left="0"/>
              <w:rPr>
                <w:rFonts w:asciiTheme="minorHAnsi" w:hAnsiTheme="minorHAnsi" w:cstheme="minorHAnsi"/>
                <w:lang w:val="en-GB"/>
              </w:rPr>
            </w:pPr>
          </w:p>
        </w:tc>
        <w:tc>
          <w:tcPr>
            <w:tcW w:w="2480" w:type="dxa"/>
          </w:tcPr>
          <w:p w:rsidRPr="001156F9" w:rsidR="000C006C" w:rsidP="00483F75" w:rsidRDefault="000C006C" w14:paraId="5E4656E2"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156F9">
              <w:rPr>
                <w:rFonts w:asciiTheme="minorHAnsi" w:hAnsiTheme="minorHAnsi" w:cstheme="minorHAnsi"/>
              </w:rPr>
              <w:t>4.2 Imbalance in white space</w:t>
            </w:r>
          </w:p>
        </w:tc>
        <w:tc>
          <w:tcPr>
            <w:tcW w:w="2381" w:type="dxa"/>
          </w:tcPr>
          <w:p w:rsidRPr="001156F9" w:rsidR="000C006C" w:rsidP="00483F75" w:rsidRDefault="000C006C" w14:paraId="4B80017B"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156F9">
              <w:rPr>
                <w:rFonts w:asciiTheme="minorHAnsi" w:hAnsiTheme="minorHAnsi" w:cstheme="minorHAnsi"/>
                <w:lang w:val="en-GB"/>
              </w:rPr>
              <w:t>Bring balance to white space and content</w:t>
            </w:r>
          </w:p>
        </w:tc>
        <w:tc>
          <w:tcPr>
            <w:tcW w:w="3485" w:type="dxa"/>
          </w:tcPr>
          <w:p w:rsidRPr="001156F9" w:rsidR="000C006C" w:rsidP="00483F75" w:rsidRDefault="000C006C" w14:paraId="08C59C4F"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156F9">
              <w:rPr>
                <w:rFonts w:asciiTheme="minorHAnsi" w:hAnsiTheme="minorHAnsi" w:cstheme="minorHAnsi"/>
                <w:lang w:val="en-GB"/>
              </w:rPr>
              <w:t>Recommended</w:t>
            </w:r>
          </w:p>
        </w:tc>
      </w:tr>
      <w:tr w:rsidRPr="001156F9" w:rsidR="000C006C" w:rsidTr="00483F75" w14:paraId="4142BF55" w14:textId="77777777">
        <w:tc>
          <w:tcPr>
            <w:cnfStyle w:val="001000000000" w:firstRow="0" w:lastRow="0" w:firstColumn="1" w:lastColumn="0" w:oddVBand="0" w:evenVBand="0" w:oddHBand="0" w:evenHBand="0" w:firstRowFirstColumn="0" w:firstRowLastColumn="0" w:lastRowFirstColumn="0" w:lastRowLastColumn="0"/>
            <w:tcW w:w="1737" w:type="dxa"/>
            <w:vMerge/>
          </w:tcPr>
          <w:p w:rsidRPr="001156F9" w:rsidR="000C006C" w:rsidP="000C006C" w:rsidRDefault="000C006C" w14:paraId="455C9088" w14:textId="77777777">
            <w:pPr>
              <w:pStyle w:val="PwCNormal"/>
              <w:numPr>
                <w:ilvl w:val="0"/>
                <w:numId w:val="1"/>
              </w:numPr>
              <w:spacing w:after="80"/>
              <w:ind w:left="0"/>
              <w:rPr>
                <w:rFonts w:asciiTheme="minorHAnsi" w:hAnsiTheme="minorHAnsi" w:cstheme="minorHAnsi"/>
                <w:lang w:val="en-GB"/>
              </w:rPr>
            </w:pPr>
          </w:p>
        </w:tc>
        <w:tc>
          <w:tcPr>
            <w:tcW w:w="2480" w:type="dxa"/>
          </w:tcPr>
          <w:p w:rsidRPr="001156F9" w:rsidR="000C006C" w:rsidP="00483F75" w:rsidRDefault="000C006C" w14:paraId="0B219E48"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156F9">
              <w:rPr>
                <w:rFonts w:asciiTheme="minorHAnsi" w:hAnsiTheme="minorHAnsi" w:cstheme="minorHAnsi"/>
              </w:rPr>
              <w:t>4.3 No progress outline</w:t>
            </w:r>
          </w:p>
        </w:tc>
        <w:tc>
          <w:tcPr>
            <w:tcW w:w="2381" w:type="dxa"/>
          </w:tcPr>
          <w:p w:rsidRPr="001156F9" w:rsidR="000C006C" w:rsidP="00483F75" w:rsidRDefault="000C006C" w14:paraId="23C1E0B6"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156F9">
              <w:rPr>
                <w:rFonts w:asciiTheme="minorHAnsi" w:hAnsiTheme="minorHAnsi" w:cstheme="minorHAnsi"/>
                <w:lang w:val="en-GB"/>
              </w:rPr>
              <w:t>Add a progress indicator</w:t>
            </w:r>
          </w:p>
        </w:tc>
        <w:tc>
          <w:tcPr>
            <w:tcW w:w="3485" w:type="dxa"/>
          </w:tcPr>
          <w:p w:rsidRPr="001156F9" w:rsidR="000C006C" w:rsidP="00483F75" w:rsidRDefault="000C006C" w14:paraId="5FD67491" w14:textId="77777777">
            <w:pPr>
              <w:pStyle w:val="PwCNormal"/>
              <w:numPr>
                <w:ilvl w:val="0"/>
                <w:numId w:val="0"/>
              </w:numPr>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1156F9">
              <w:rPr>
                <w:rFonts w:asciiTheme="minorHAnsi" w:hAnsiTheme="minorHAnsi" w:cstheme="minorHAnsi"/>
                <w:lang w:val="en-GB"/>
              </w:rPr>
              <w:t>Essential</w:t>
            </w:r>
          </w:p>
        </w:tc>
      </w:tr>
    </w:tbl>
    <w:p w:rsidR="005F05D2" w:rsidP="00317EA9" w:rsidRDefault="005F05D2" w14:paraId="75C10B53" w14:textId="29E423F9"/>
    <w:p w:rsidR="000541EA" w:rsidP="000541EA" w:rsidRDefault="005F05D2" w14:paraId="4423A818" w14:textId="77777777">
      <w:pPr>
        <w:pStyle w:val="Heading1"/>
      </w:pPr>
      <w:r>
        <w:br w:type="page"/>
      </w:r>
      <w:bookmarkStart w:name="_Toc115693176" w:id="20"/>
      <w:r w:rsidRPr="232F60B7" w:rsidR="000541EA">
        <w:lastRenderedPageBreak/>
        <w:t>Appendix</w:t>
      </w:r>
      <w:bookmarkEnd w:id="20"/>
    </w:p>
    <w:p w:rsidRPr="000541EA" w:rsidR="000541EA" w:rsidP="000541EA" w:rsidRDefault="000541EA" w14:paraId="2FC285E7" w14:textId="77777777">
      <w:pPr>
        <w:rPr>
          <w:shd w:val="clear" w:color="auto" w:fill="E6E6E6"/>
        </w:rPr>
      </w:pPr>
      <w:r w:rsidRPr="000541EA">
        <w:rPr>
          <w:shd w:val="clear" w:color="auto" w:fill="E6E6E6"/>
        </w:rPr>
        <w:t>Appendix A</w:t>
      </w:r>
      <w:r w:rsidRPr="000541EA">
        <w:rPr>
          <w:shd w:val="clear" w:color="auto" w:fill="E6E6E6"/>
        </w:rPr>
        <w:tab/>
      </w:r>
      <w:r w:rsidRPr="000541EA">
        <w:rPr>
          <w:shd w:val="clear" w:color="auto" w:fill="E6E6E6"/>
        </w:rPr>
        <w:t>User Research Methodology</w:t>
      </w:r>
      <w:r w:rsidRPr="000541EA">
        <w:rPr>
          <w:shd w:val="clear" w:color="auto" w:fill="E6E6E6"/>
        </w:rPr>
        <w:tab/>
      </w:r>
      <w:r w:rsidRPr="000541EA">
        <w:rPr>
          <w:shd w:val="clear" w:color="auto" w:fill="E6E6E6"/>
        </w:rPr>
        <w:tab/>
      </w:r>
      <w:r w:rsidRPr="000541EA">
        <w:rPr>
          <w:shd w:val="clear" w:color="auto" w:fill="E6E6E6"/>
        </w:rPr>
        <w:tab/>
      </w:r>
      <w:r w:rsidRPr="000541EA">
        <w:rPr>
          <w:shd w:val="clear" w:color="auto" w:fill="E6E6E6"/>
        </w:rPr>
        <w:tab/>
      </w:r>
      <w:r w:rsidRPr="000541EA">
        <w:rPr>
          <w:shd w:val="clear" w:color="auto" w:fill="E6E6E6"/>
        </w:rPr>
        <w:tab/>
      </w:r>
      <w:r w:rsidRPr="000541EA">
        <w:rPr>
          <w:shd w:val="clear" w:color="auto" w:fill="E6E6E6"/>
        </w:rPr>
        <w:tab/>
      </w:r>
      <w:r w:rsidRPr="000541EA">
        <w:rPr>
          <w:shd w:val="clear" w:color="auto" w:fill="E6E6E6"/>
        </w:rPr>
        <w:tab/>
      </w:r>
      <w:r w:rsidRPr="000541EA">
        <w:rPr>
          <w:shd w:val="clear" w:color="auto" w:fill="E6E6E6"/>
        </w:rPr>
        <w:t>44</w:t>
      </w:r>
    </w:p>
    <w:p w:rsidRPr="000541EA" w:rsidR="000541EA" w:rsidP="000541EA" w:rsidRDefault="000541EA" w14:paraId="5497C89B" w14:textId="77777777">
      <w:pPr>
        <w:rPr>
          <w:shd w:val="clear" w:color="auto" w:fill="E6E6E6"/>
        </w:rPr>
      </w:pPr>
      <w:r w:rsidRPr="000541EA">
        <w:rPr>
          <w:shd w:val="clear" w:color="auto" w:fill="E6E6E6"/>
        </w:rPr>
        <w:t>Appendix B</w:t>
      </w:r>
      <w:r w:rsidRPr="000541EA">
        <w:rPr>
          <w:shd w:val="clear" w:color="auto" w:fill="E6E6E6"/>
        </w:rPr>
        <w:tab/>
      </w:r>
      <w:r w:rsidRPr="000541EA">
        <w:rPr>
          <w:shd w:val="clear" w:color="auto" w:fill="E6E6E6"/>
        </w:rPr>
        <w:t>Prototype outputs</w:t>
      </w:r>
      <w:r w:rsidRPr="000541EA">
        <w:rPr>
          <w:shd w:val="clear" w:color="auto" w:fill="E6E6E6"/>
        </w:rPr>
        <w:tab/>
      </w:r>
      <w:r w:rsidRPr="000541EA">
        <w:rPr>
          <w:shd w:val="clear" w:color="auto" w:fill="E6E6E6"/>
        </w:rPr>
        <w:tab/>
      </w:r>
      <w:r w:rsidRPr="000541EA">
        <w:rPr>
          <w:shd w:val="clear" w:color="auto" w:fill="E6E6E6"/>
        </w:rPr>
        <w:tab/>
      </w:r>
      <w:r w:rsidRPr="000541EA">
        <w:rPr>
          <w:shd w:val="clear" w:color="auto" w:fill="E6E6E6"/>
        </w:rPr>
        <w:tab/>
      </w:r>
      <w:r w:rsidRPr="000541EA">
        <w:rPr>
          <w:shd w:val="clear" w:color="auto" w:fill="E6E6E6"/>
        </w:rPr>
        <w:tab/>
      </w:r>
      <w:r w:rsidRPr="000541EA">
        <w:rPr>
          <w:shd w:val="clear" w:color="auto" w:fill="E6E6E6"/>
        </w:rPr>
        <w:tab/>
      </w:r>
      <w:r w:rsidRPr="000541EA">
        <w:rPr>
          <w:shd w:val="clear" w:color="auto" w:fill="E6E6E6"/>
        </w:rPr>
        <w:tab/>
      </w:r>
      <w:r w:rsidRPr="000541EA">
        <w:rPr>
          <w:shd w:val="clear" w:color="auto" w:fill="E6E6E6"/>
        </w:rPr>
        <w:tab/>
      </w:r>
      <w:r w:rsidRPr="000541EA">
        <w:rPr>
          <w:shd w:val="clear" w:color="auto" w:fill="E6E6E6"/>
        </w:rPr>
        <w:t>51</w:t>
      </w:r>
    </w:p>
    <w:p w:rsidR="000541EA" w:rsidRDefault="000541EA" w14:paraId="3044D502" w14:textId="7E382978">
      <w:pPr>
        <w:spacing w:after="160" w:line="259" w:lineRule="auto"/>
      </w:pPr>
      <w:r>
        <w:br w:type="page"/>
      </w:r>
    </w:p>
    <w:p w:rsidR="006F0636" w:rsidP="006F0636" w:rsidRDefault="006F0636" w14:paraId="3AC79D3E" w14:textId="77777777">
      <w:pPr>
        <w:pStyle w:val="Heading1"/>
      </w:pPr>
      <w:r>
        <w:lastRenderedPageBreak/>
        <w:t>Appendix A</w:t>
      </w:r>
      <w:r>
        <w:tab/>
      </w:r>
      <w:r>
        <w:t>User Research Methodology</w:t>
      </w:r>
    </w:p>
    <w:p w:rsidR="006F0636" w:rsidP="00F72312" w:rsidRDefault="006F0636" w14:paraId="16E83801" w14:textId="77777777">
      <w:pPr>
        <w:pStyle w:val="Heading2"/>
      </w:pPr>
      <w:r>
        <w:t>7.2</w:t>
      </w:r>
      <w:r>
        <w:tab/>
      </w:r>
      <w:r>
        <w:t>User research methodology</w:t>
      </w:r>
    </w:p>
    <w:p w:rsidR="006F0636" w:rsidP="00F72312" w:rsidRDefault="006F0636" w14:paraId="65B94817" w14:textId="77777777">
      <w:pPr>
        <w:pStyle w:val="Heading3"/>
      </w:pPr>
      <w:r>
        <w:t>7.2.1</w:t>
      </w:r>
      <w:r>
        <w:tab/>
      </w:r>
      <w:r>
        <w:t>User research approach and considerations</w:t>
      </w:r>
    </w:p>
    <w:p w:rsidR="006F0636" w:rsidP="00CF6A8B" w:rsidRDefault="006F0636" w14:paraId="100F905F" w14:textId="77777777">
      <w:pPr>
        <w:pStyle w:val="Heading3"/>
      </w:pPr>
      <w:r>
        <w:t>Defining edge communities</w:t>
      </w:r>
    </w:p>
    <w:p w:rsidR="006F0636" w:rsidP="006F0636" w:rsidRDefault="006F0636" w14:paraId="40224336" w14:textId="77777777">
      <w:r>
        <w:t xml:space="preserve">In software development, edge case scenarios are those that are possible, but occur rarely or are outside the general user pathway. </w:t>
      </w:r>
    </w:p>
    <w:p w:rsidR="005F05D2" w:rsidP="006F0636" w:rsidRDefault="006F0636" w14:paraId="4B9BEAD6" w14:textId="49704B26">
      <w:r>
        <w:t xml:space="preserve">We use the terminology ‘edge communities’ </w:t>
      </w:r>
      <w:proofErr w:type="gramStart"/>
      <w:r>
        <w:t>in order to</w:t>
      </w:r>
      <w:proofErr w:type="gramEnd"/>
      <w:r>
        <w:t xml:space="preserve"> define those who may have experiences outside the mainstream, or who’s needs may need specialist consideration and which not be met by testing with a mainstream audience.</w:t>
      </w:r>
    </w:p>
    <w:p w:rsidR="006037F7" w:rsidP="006037F7" w:rsidRDefault="006037F7" w14:paraId="06EE9727" w14:textId="77777777">
      <w:pPr>
        <w:pStyle w:val="Heading3"/>
      </w:pPr>
    </w:p>
    <w:p w:rsidRPr="00342D6F" w:rsidR="006037F7" w:rsidP="006037F7" w:rsidRDefault="006037F7" w14:paraId="3821E133" w14:textId="77655EB1">
      <w:pPr>
        <w:pStyle w:val="Heading3"/>
      </w:pPr>
      <w:r w:rsidRPr="00342D6F">
        <w:t>Considerations for planning engagement with edge communities</w:t>
      </w:r>
    </w:p>
    <w:p w:rsidRPr="00342D6F" w:rsidR="006037F7" w:rsidP="006037F7" w:rsidRDefault="006037F7" w14:paraId="06C92F15" w14:textId="77777777">
      <w:r>
        <w:t xml:space="preserve">Common UX research is conducted with mainstream communities, which can be defined as the general population and groups. </w:t>
      </w:r>
      <w:r w:rsidRPr="631CA9A4">
        <w:t>Planning with edge communities requires some nuance from mainstream UX research</w:t>
      </w:r>
      <w:r>
        <w:t>, because it involves researching with consumers from vulnerable cohorts, disability and culturally and linguistically diverse communities</w:t>
      </w:r>
      <w:r w:rsidRPr="631CA9A4">
        <w:t>. For example, recruitment companies are rarely used, and therefore we do not commonly develop screeners. Rather, recruitment in handled in house, informed by the following ten considerations:</w:t>
      </w:r>
    </w:p>
    <w:p w:rsidRPr="00342D6F" w:rsidR="006037F7" w:rsidP="006037F7" w:rsidRDefault="006037F7" w14:paraId="6F1FEC07" w14:textId="77777777">
      <w:pPr>
        <w:rPr>
          <w:b/>
          <w:bCs/>
        </w:rPr>
      </w:pPr>
      <w:r w:rsidRPr="00342D6F">
        <w:rPr>
          <w:b/>
          <w:bCs/>
        </w:rPr>
        <w:t>1. Appreciate the context</w:t>
      </w:r>
    </w:p>
    <w:p w:rsidRPr="00342D6F" w:rsidR="006037F7" w:rsidP="006037F7" w:rsidRDefault="006037F7" w14:paraId="36AEB99C" w14:textId="77777777">
      <w:r w:rsidRPr="00342D6F">
        <w:t>People from edge communities may have vulnerabilities very different from mainstream users. Consider the context of their lived experience, especially regarding the research topic. As an example, with Aboriginal and Torres Strait Islander people, colonisation and the Stolen Generations have resulted in intergenerational trauma which could make research related to family dynamics particularly sensitive.</w:t>
      </w:r>
    </w:p>
    <w:p w:rsidRPr="00342D6F" w:rsidR="006037F7" w:rsidP="006037F7" w:rsidRDefault="006037F7" w14:paraId="68137341" w14:textId="77777777">
      <w:pPr>
        <w:rPr>
          <w:b/>
          <w:bCs/>
        </w:rPr>
      </w:pPr>
      <w:r w:rsidRPr="00342D6F">
        <w:rPr>
          <w:b/>
          <w:bCs/>
        </w:rPr>
        <w:t>2. Trust is crucial</w:t>
      </w:r>
    </w:p>
    <w:p w:rsidRPr="00342D6F" w:rsidR="006037F7" w:rsidP="006037F7" w:rsidRDefault="006037F7" w14:paraId="4D397FCB" w14:textId="77777777">
      <w:r w:rsidRPr="00342D6F">
        <w:t>Working with people from edge communities requires trust built over time. This means you must be directly connected with the community or invited in by a trusted person through network. It also means any actions of follow ups (even if outside the direct research) must be carefully considered to maintain trust over time.</w:t>
      </w:r>
    </w:p>
    <w:p w:rsidRPr="00342D6F" w:rsidR="006037F7" w:rsidP="006037F7" w:rsidRDefault="006037F7" w14:paraId="31E88043" w14:textId="77777777">
      <w:pPr>
        <w:rPr>
          <w:b/>
          <w:bCs/>
        </w:rPr>
      </w:pPr>
      <w:r w:rsidRPr="00342D6F">
        <w:rPr>
          <w:b/>
          <w:bCs/>
        </w:rPr>
        <w:t>3. Networks provide a ‘front door’ for access</w:t>
      </w:r>
    </w:p>
    <w:p w:rsidRPr="00342D6F" w:rsidR="006037F7" w:rsidP="006037F7" w:rsidRDefault="006037F7" w14:paraId="3F8D6B4C" w14:textId="77777777">
      <w:r w:rsidRPr="00342D6F">
        <w:t>Building on trust, working within networks where edge community users are provides a ‘front door’ for finding the right people. This could include (as an example) putting an advertisement in a disability advocacy body newsletter looking for people with disability to participate. This also removes the need to identify the users specific access needs, as the network is self-selecting.</w:t>
      </w:r>
    </w:p>
    <w:p w:rsidRPr="00342D6F" w:rsidR="006037F7" w:rsidP="006037F7" w:rsidRDefault="006037F7" w14:paraId="2F5A1E19" w14:textId="77777777">
      <w:pPr>
        <w:rPr>
          <w:b/>
          <w:bCs/>
        </w:rPr>
      </w:pPr>
      <w:r w:rsidRPr="00342D6F">
        <w:rPr>
          <w:b/>
          <w:bCs/>
        </w:rPr>
        <w:t>4. Be even more flexible, and allow extra time</w:t>
      </w:r>
    </w:p>
    <w:p w:rsidR="006037F7" w:rsidP="006037F7" w:rsidRDefault="006037F7" w14:paraId="2F41769B" w14:textId="77777777">
      <w:r w:rsidRPr="00342D6F">
        <w:t>Mainstream users are busy and have priorities other than research and so sufficient time to allow engagement is built into research planning. Even more so, to ensure your research is successful with people from edge case communities, allow extra time. This enables you to ensure they are fully informed, have free and prior informed consent and can schedule around their other needs. This flexibility should extend to all aspects of the user research. Take any burden you can from users and put it on yourself and the researcher – meet them where they are comfortable, at a time they are comfortable, record in a format they prefer</w:t>
      </w:r>
      <w:r>
        <w:t>.</w:t>
      </w:r>
    </w:p>
    <w:p w:rsidRPr="00342D6F" w:rsidR="006037F7" w:rsidP="006037F7" w:rsidRDefault="006037F7" w14:paraId="7D6FE3C2" w14:textId="77777777">
      <w:pPr>
        <w:rPr>
          <w:b/>
          <w:bCs/>
        </w:rPr>
      </w:pPr>
      <w:r w:rsidRPr="00342D6F">
        <w:rPr>
          <w:b/>
          <w:bCs/>
        </w:rPr>
        <w:t>5. Free and prior informed consent is non-negotiable</w:t>
      </w:r>
    </w:p>
    <w:p w:rsidRPr="00342D6F" w:rsidR="006037F7" w:rsidP="006037F7" w:rsidRDefault="006037F7" w14:paraId="4881864F" w14:textId="77777777">
      <w:r w:rsidRPr="00342D6F">
        <w:t>Ensure your users know EVERYTHING about the session beforehand with time to consider – what the research will cover, who will run the session, how the research will be conducted, where it will be conducted, how it will be recorded, who will have access to research material after the fact (including data sovereignty considerations), how the user will be compensated for their time and knowledge, what the opt out procedures are and what after research care is available to ensure cultural and psychological safety. Only once the user has this information can they make a considered decision to participate.</w:t>
      </w:r>
    </w:p>
    <w:p w:rsidRPr="00342D6F" w:rsidR="006037F7" w:rsidP="006037F7" w:rsidRDefault="006037F7" w14:paraId="2C0A4FDB" w14:textId="77777777">
      <w:pPr>
        <w:rPr>
          <w:b/>
          <w:bCs/>
        </w:rPr>
      </w:pPr>
      <w:r w:rsidRPr="00342D6F">
        <w:rPr>
          <w:b/>
          <w:bCs/>
        </w:rPr>
        <w:t>6. Consider Intersectionality</w:t>
      </w:r>
    </w:p>
    <w:p w:rsidRPr="00342D6F" w:rsidR="006037F7" w:rsidP="006037F7" w:rsidRDefault="006037F7" w14:paraId="22A63F28" w14:textId="77777777">
      <w:r w:rsidRPr="00342D6F">
        <w:lastRenderedPageBreak/>
        <w:t>Consider intersectionality within edge case communities. For example, a user may be from a culturally and linguistically diverse (CALD) community, be over 65 years in age and live in a remote area. Because of this breadth of experience, you can gain a lot of insight for your product or service in a single engagement.</w:t>
      </w:r>
    </w:p>
    <w:p w:rsidRPr="00342D6F" w:rsidR="006037F7" w:rsidP="006037F7" w:rsidRDefault="006037F7" w14:paraId="5ED196A7" w14:textId="77777777">
      <w:pPr>
        <w:rPr>
          <w:b/>
          <w:bCs/>
        </w:rPr>
      </w:pPr>
      <w:r w:rsidRPr="00342D6F">
        <w:rPr>
          <w:b/>
          <w:bCs/>
        </w:rPr>
        <w:t>7. The phone is your friend</w:t>
      </w:r>
    </w:p>
    <w:p w:rsidRPr="00342D6F" w:rsidR="006037F7" w:rsidP="006037F7" w:rsidRDefault="006037F7" w14:paraId="298D7C8E" w14:textId="77777777">
      <w:r w:rsidRPr="00342D6F">
        <w:t>In addition to working with networks to find the right people to engage with, PIC and CFID also maintain our own databases with contacts for users. In our shared experience, getting on the phone and engaging directly with people is far more fruitful than any other engagement method. This is the same throughout the research process, from planning to conducting to follow up. Researchers often follow up with results of the study for participants, or a summary document outlining findings.</w:t>
      </w:r>
    </w:p>
    <w:p w:rsidRPr="00342D6F" w:rsidR="006037F7" w:rsidP="006037F7" w:rsidRDefault="006037F7" w14:paraId="33F01F0A" w14:textId="77777777">
      <w:pPr>
        <w:rPr>
          <w:b/>
          <w:bCs/>
        </w:rPr>
      </w:pPr>
      <w:r w:rsidRPr="00342D6F">
        <w:rPr>
          <w:b/>
          <w:bCs/>
        </w:rPr>
        <w:t>8. Consider prior research or consultation burden</w:t>
      </w:r>
    </w:p>
    <w:p w:rsidRPr="00342D6F" w:rsidR="006037F7" w:rsidP="006037F7" w:rsidRDefault="006037F7" w14:paraId="1DE3991A" w14:textId="77777777">
      <w:r w:rsidRPr="00342D6F">
        <w:t xml:space="preserve">Aboriginal and Torres Strait Islander people carry a high consultation burden from government and researchers. Consider if similar work has been done before, and how you might access to minimise burden on users. Also, consider if users have participated in research before, as this may affect the insights you can gather. </w:t>
      </w:r>
    </w:p>
    <w:p w:rsidRPr="00342D6F" w:rsidR="006037F7" w:rsidP="006037F7" w:rsidRDefault="006037F7" w14:paraId="3F754573" w14:textId="77777777">
      <w:pPr>
        <w:rPr>
          <w:b/>
          <w:bCs/>
        </w:rPr>
      </w:pPr>
      <w:r w:rsidRPr="00342D6F">
        <w:rPr>
          <w:b/>
          <w:bCs/>
        </w:rPr>
        <w:t>9. Know your own privilege, and bias</w:t>
      </w:r>
    </w:p>
    <w:p w:rsidRPr="00342D6F" w:rsidR="006037F7" w:rsidP="006037F7" w:rsidRDefault="006037F7" w14:paraId="10F61FCD" w14:textId="77777777">
      <w:r w:rsidRPr="00342D6F">
        <w:t xml:space="preserve">Working with edge communities can present challenges to the researcher that you will not find outside the mainstream. Consider your worn privilege and bias. Consider how you will deal with feedback. Consider what you will do if the research goes in a direction that puts your user or your researcher in a position where their cultural or psychological safety is compromised. Consider how you will debrief yourself and your team, and any after care required. Have a plan for this beforehand. </w:t>
      </w:r>
    </w:p>
    <w:p w:rsidRPr="00342D6F" w:rsidR="006037F7" w:rsidP="006037F7" w:rsidRDefault="006037F7" w14:paraId="4D2EB8D7" w14:textId="77777777">
      <w:pPr>
        <w:rPr>
          <w:b/>
          <w:bCs/>
        </w:rPr>
      </w:pPr>
      <w:r w:rsidRPr="00342D6F">
        <w:rPr>
          <w:b/>
          <w:bCs/>
        </w:rPr>
        <w:t>10. Be prepared for follow up</w:t>
      </w:r>
    </w:p>
    <w:p w:rsidR="006037F7" w:rsidP="006037F7" w:rsidRDefault="006037F7" w14:paraId="1475E0E2" w14:textId="77777777">
      <w:r w:rsidRPr="00342D6F">
        <w:t xml:space="preserve">Like in mainstream research, once you build trust with your user, they will </w:t>
      </w:r>
      <w:proofErr w:type="gramStart"/>
      <w:r w:rsidRPr="00342D6F">
        <w:t>open up</w:t>
      </w:r>
      <w:proofErr w:type="gramEnd"/>
      <w:r w:rsidRPr="00342D6F">
        <w:t xml:space="preserve"> to you. The research may go in a direction you hadn’t planned. The user may present challenges outside scope or which you cannot solve. Be prepared for additional follow up to pass these on or action them, to maintain and build trust.</w:t>
      </w:r>
    </w:p>
    <w:p w:rsidR="00B407A8" w:rsidRDefault="00B407A8" w14:paraId="73FFD1D5" w14:textId="738A3EF5">
      <w:pPr>
        <w:spacing w:after="160" w:line="259" w:lineRule="auto"/>
      </w:pPr>
      <w:r>
        <w:br w:type="page"/>
      </w:r>
    </w:p>
    <w:p w:rsidR="00B407A8" w:rsidP="007C692F" w:rsidRDefault="00B407A8" w14:paraId="1A554974" w14:textId="4B0D6AD2">
      <w:pPr>
        <w:pStyle w:val="Heading3"/>
      </w:pPr>
      <w:r>
        <w:lastRenderedPageBreak/>
        <w:t>7.2.2</w:t>
      </w:r>
      <w:r>
        <w:tab/>
      </w:r>
      <w:r>
        <w:t xml:space="preserve">Inclusive usability testing </w:t>
      </w:r>
      <w:r w:rsidRPr="5B9A93D3">
        <w:t>approach</w:t>
      </w:r>
    </w:p>
    <w:p w:rsidRPr="007C692F" w:rsidR="007C692F" w:rsidP="007C692F" w:rsidRDefault="007C692F" w14:paraId="5CC7CE82" w14:textId="77777777"/>
    <w:tbl>
      <w:tblPr>
        <w:tblStyle w:val="GridTable1Light"/>
        <w:tblW w:w="10110" w:type="dxa"/>
        <w:tblLayout w:type="fixed"/>
        <w:tblLook w:val="0620" w:firstRow="1" w:lastRow="0" w:firstColumn="0" w:lastColumn="0" w:noHBand="1" w:noVBand="1"/>
      </w:tblPr>
      <w:tblGrid>
        <w:gridCol w:w="1973"/>
        <w:gridCol w:w="8137"/>
      </w:tblGrid>
      <w:tr w:rsidRPr="007C692F" w:rsidR="00B407A8" w:rsidTr="007C692F" w14:paraId="7246BCF3" w14:textId="77777777">
        <w:trPr>
          <w:cnfStyle w:val="100000000000" w:firstRow="1" w:lastRow="0" w:firstColumn="0" w:lastColumn="0" w:oddVBand="0" w:evenVBand="0" w:oddHBand="0" w:evenHBand="0" w:firstRowFirstColumn="0" w:firstRowLastColumn="0" w:lastRowFirstColumn="0" w:lastRowLastColumn="0"/>
          <w:trHeight w:val="182"/>
        </w:trPr>
        <w:tc>
          <w:tcPr>
            <w:tcW w:w="1973" w:type="dxa"/>
          </w:tcPr>
          <w:p w:rsidRPr="007C692F" w:rsidR="00B407A8" w:rsidP="00483F75" w:rsidRDefault="00B407A8" w14:paraId="54EFA9AD" w14:textId="77777777">
            <w:pPr>
              <w:widowControl w:val="0"/>
              <w:rPr>
                <w:rFonts w:eastAsia="Georgia" w:asciiTheme="minorHAnsi" w:hAnsiTheme="minorHAnsi"/>
                <w:b w:val="0"/>
              </w:rPr>
            </w:pPr>
            <w:r w:rsidRPr="007C692F">
              <w:rPr>
                <w:rFonts w:eastAsia="Georgia" w:asciiTheme="minorHAnsi" w:hAnsiTheme="minorHAnsi"/>
              </w:rPr>
              <w:t>Approach</w:t>
            </w:r>
          </w:p>
        </w:tc>
        <w:tc>
          <w:tcPr>
            <w:tcW w:w="8137" w:type="dxa"/>
          </w:tcPr>
          <w:p w:rsidRPr="007C692F" w:rsidR="00B407A8" w:rsidP="00483F75" w:rsidRDefault="00B407A8" w14:paraId="094D3714" w14:textId="77777777">
            <w:pPr>
              <w:widowControl w:val="0"/>
              <w:rPr>
                <w:rFonts w:eastAsia="Georgia" w:asciiTheme="minorHAnsi" w:hAnsiTheme="minorHAnsi"/>
              </w:rPr>
            </w:pPr>
            <w:r w:rsidRPr="007C692F">
              <w:rPr>
                <w:rFonts w:eastAsia="Georgia" w:asciiTheme="minorHAnsi" w:hAnsiTheme="minorHAnsi"/>
              </w:rPr>
              <w:t>Inclusive Usability Testing</w:t>
            </w:r>
          </w:p>
        </w:tc>
      </w:tr>
      <w:tr w:rsidRPr="007C692F" w:rsidR="00B407A8" w:rsidTr="007C692F" w14:paraId="51E9B41D" w14:textId="77777777">
        <w:trPr>
          <w:trHeight w:val="691"/>
        </w:trPr>
        <w:tc>
          <w:tcPr>
            <w:tcW w:w="1973" w:type="dxa"/>
          </w:tcPr>
          <w:p w:rsidRPr="007C692F" w:rsidR="00B407A8" w:rsidP="00483F75" w:rsidRDefault="00B407A8" w14:paraId="1ECBA972" w14:textId="77777777">
            <w:pPr>
              <w:widowControl w:val="0"/>
              <w:rPr>
                <w:rFonts w:eastAsia="Georgia" w:asciiTheme="minorHAnsi" w:hAnsiTheme="minorHAnsi"/>
                <w:b/>
              </w:rPr>
            </w:pPr>
            <w:r w:rsidRPr="007C692F">
              <w:rPr>
                <w:rFonts w:eastAsia="Georgia" w:asciiTheme="minorHAnsi" w:hAnsiTheme="minorHAnsi"/>
                <w:b/>
              </w:rPr>
              <w:t>Methods</w:t>
            </w:r>
          </w:p>
        </w:tc>
        <w:tc>
          <w:tcPr>
            <w:tcW w:w="8137" w:type="dxa"/>
          </w:tcPr>
          <w:p w:rsidRPr="007C692F" w:rsidR="00B407A8" w:rsidP="009D7F08" w:rsidRDefault="00B407A8" w14:paraId="063034F0" w14:textId="77777777">
            <w:pPr>
              <w:pStyle w:val="Bulletpointdot"/>
            </w:pPr>
            <w:r w:rsidRPr="007C692F">
              <w:t>User tasking</w:t>
            </w:r>
          </w:p>
          <w:p w:rsidRPr="007C692F" w:rsidR="00B407A8" w:rsidP="009D7F08" w:rsidRDefault="00B407A8" w14:paraId="026B8959" w14:textId="77777777">
            <w:pPr>
              <w:pStyle w:val="Bulletpointdot"/>
            </w:pPr>
            <w:r w:rsidRPr="007C692F">
              <w:t>Semi-structured interviews</w:t>
            </w:r>
          </w:p>
          <w:p w:rsidRPr="007C692F" w:rsidR="00B407A8" w:rsidP="009D7F08" w:rsidRDefault="00B407A8" w14:paraId="7280CA9C" w14:textId="77777777">
            <w:pPr>
              <w:pStyle w:val="Bulletpointdot"/>
            </w:pPr>
            <w:r w:rsidRPr="007C692F">
              <w:t>Behavioural observation</w:t>
            </w:r>
          </w:p>
        </w:tc>
      </w:tr>
      <w:tr w:rsidRPr="007C692F" w:rsidR="00B407A8" w:rsidTr="007C692F" w14:paraId="74F37F75" w14:textId="77777777">
        <w:trPr>
          <w:trHeight w:val="620"/>
        </w:trPr>
        <w:tc>
          <w:tcPr>
            <w:tcW w:w="1973" w:type="dxa"/>
          </w:tcPr>
          <w:p w:rsidRPr="007C692F" w:rsidR="00B407A8" w:rsidP="00483F75" w:rsidRDefault="00B407A8" w14:paraId="0DAFAD9B" w14:textId="77777777">
            <w:pPr>
              <w:widowControl w:val="0"/>
              <w:rPr>
                <w:rFonts w:eastAsia="Georgia" w:asciiTheme="minorHAnsi" w:hAnsiTheme="minorHAnsi"/>
                <w:b/>
              </w:rPr>
            </w:pPr>
            <w:r w:rsidRPr="007C692F">
              <w:rPr>
                <w:rFonts w:eastAsia="Georgia" w:asciiTheme="minorHAnsi" w:hAnsiTheme="minorHAnsi"/>
                <w:b/>
              </w:rPr>
              <w:t>Artefacts and Instruments</w:t>
            </w:r>
          </w:p>
        </w:tc>
        <w:tc>
          <w:tcPr>
            <w:tcW w:w="8137" w:type="dxa"/>
          </w:tcPr>
          <w:p w:rsidRPr="007C692F" w:rsidR="00B407A8" w:rsidP="009D7F08" w:rsidRDefault="00B407A8" w14:paraId="27A3CA75" w14:textId="77777777">
            <w:pPr>
              <w:pStyle w:val="Bulletpointdot"/>
            </w:pPr>
            <w:r w:rsidRPr="007C692F">
              <w:t>Coded prototypes</w:t>
            </w:r>
          </w:p>
          <w:p w:rsidRPr="007C692F" w:rsidR="00B407A8" w:rsidP="009D7F08" w:rsidRDefault="00B407A8" w14:paraId="519AB85B" w14:textId="77777777">
            <w:pPr>
              <w:pStyle w:val="Bulletpointdot"/>
            </w:pPr>
            <w:r w:rsidRPr="007C692F">
              <w:t>Discussion guide</w:t>
            </w:r>
          </w:p>
          <w:p w:rsidRPr="007C692F" w:rsidR="00B407A8" w:rsidP="009D7F08" w:rsidRDefault="00B407A8" w14:paraId="379F4A55" w14:textId="77777777">
            <w:pPr>
              <w:pStyle w:val="Bulletpointdot"/>
            </w:pPr>
            <w:r w:rsidRPr="007C692F">
              <w:t>Note taking log</w:t>
            </w:r>
          </w:p>
        </w:tc>
      </w:tr>
      <w:tr w:rsidRPr="007C692F" w:rsidR="00B407A8" w:rsidTr="007C692F" w14:paraId="1DBA8972" w14:textId="77777777">
        <w:trPr>
          <w:trHeight w:val="620"/>
        </w:trPr>
        <w:tc>
          <w:tcPr>
            <w:tcW w:w="1973" w:type="dxa"/>
          </w:tcPr>
          <w:p w:rsidRPr="007C692F" w:rsidR="00B407A8" w:rsidP="00483F75" w:rsidRDefault="00B407A8" w14:paraId="3C6DB0E0" w14:textId="77777777">
            <w:pPr>
              <w:widowControl w:val="0"/>
              <w:rPr>
                <w:rFonts w:eastAsia="Georgia" w:asciiTheme="minorHAnsi" w:hAnsiTheme="minorHAnsi"/>
                <w:b/>
              </w:rPr>
            </w:pPr>
            <w:r w:rsidRPr="007C692F">
              <w:rPr>
                <w:rFonts w:eastAsia="Georgia" w:asciiTheme="minorHAnsi" w:hAnsiTheme="minorHAnsi"/>
                <w:b/>
              </w:rPr>
              <w:t>Participants</w:t>
            </w:r>
          </w:p>
        </w:tc>
        <w:tc>
          <w:tcPr>
            <w:tcW w:w="8137" w:type="dxa"/>
          </w:tcPr>
          <w:p w:rsidRPr="007C692F" w:rsidR="00B407A8" w:rsidP="00483F75" w:rsidRDefault="00B407A8" w14:paraId="57276780" w14:textId="77777777">
            <w:pPr>
              <w:widowControl w:val="0"/>
              <w:rPr>
                <w:rFonts w:eastAsia="Georgia" w:asciiTheme="minorHAnsi" w:hAnsiTheme="minorHAnsi"/>
              </w:rPr>
            </w:pPr>
            <w:r w:rsidRPr="007C692F">
              <w:rPr>
                <w:rFonts w:eastAsia="Georgia" w:asciiTheme="minorHAnsi" w:hAnsiTheme="minorHAnsi"/>
              </w:rPr>
              <w:t>10 edge community people were engaged to test the CDR’s usability and accessibility, inclusive of vulnerable segments of the community. A total of 15 hours of interviews were conducted. Participants were renumerated for their time and participation.</w:t>
            </w:r>
          </w:p>
        </w:tc>
      </w:tr>
      <w:tr w:rsidRPr="007C692F" w:rsidR="00B407A8" w:rsidTr="007C692F" w14:paraId="39A5B9F3" w14:textId="77777777">
        <w:trPr>
          <w:trHeight w:val="960"/>
        </w:trPr>
        <w:tc>
          <w:tcPr>
            <w:tcW w:w="1973" w:type="dxa"/>
          </w:tcPr>
          <w:p w:rsidRPr="007C692F" w:rsidR="00B407A8" w:rsidP="00483F75" w:rsidRDefault="00B407A8" w14:paraId="18379C21" w14:textId="77777777">
            <w:pPr>
              <w:widowControl w:val="0"/>
              <w:rPr>
                <w:rFonts w:eastAsia="Georgia" w:asciiTheme="minorHAnsi" w:hAnsiTheme="minorHAnsi"/>
                <w:b/>
              </w:rPr>
            </w:pPr>
            <w:r w:rsidRPr="007C692F">
              <w:rPr>
                <w:rFonts w:eastAsia="Georgia" w:asciiTheme="minorHAnsi" w:hAnsiTheme="minorHAnsi"/>
                <w:b/>
              </w:rPr>
              <w:t>Team Roles and Responsibilities</w:t>
            </w:r>
          </w:p>
        </w:tc>
        <w:tc>
          <w:tcPr>
            <w:tcW w:w="8137" w:type="dxa"/>
          </w:tcPr>
          <w:p w:rsidRPr="007C692F" w:rsidR="00B407A8" w:rsidP="00483F75" w:rsidRDefault="00B407A8" w14:paraId="286D5CEE" w14:textId="77777777">
            <w:pPr>
              <w:widowControl w:val="0"/>
              <w:rPr>
                <w:rFonts w:eastAsia="Georgia" w:asciiTheme="minorHAnsi" w:hAnsiTheme="minorHAnsi"/>
              </w:rPr>
            </w:pPr>
            <w:r w:rsidRPr="007C692F">
              <w:rPr>
                <w:rFonts w:eastAsia="Georgia" w:asciiTheme="minorHAnsi" w:hAnsiTheme="minorHAnsi"/>
              </w:rPr>
              <w:t xml:space="preserve">PIC and CFID co-designed tasks, </w:t>
            </w:r>
            <w:proofErr w:type="gramStart"/>
            <w:r w:rsidRPr="007C692F">
              <w:rPr>
                <w:rFonts w:eastAsia="Georgia" w:asciiTheme="minorHAnsi" w:hAnsiTheme="minorHAnsi"/>
              </w:rPr>
              <w:t>instructions</w:t>
            </w:r>
            <w:proofErr w:type="gramEnd"/>
            <w:r w:rsidRPr="007C692F">
              <w:rPr>
                <w:rFonts w:eastAsia="Georgia" w:asciiTheme="minorHAnsi" w:hAnsiTheme="minorHAnsi"/>
              </w:rPr>
              <w:t xml:space="preserve"> and discussion guide for the testing sessions for The Department’s review. The combined team facilitated testing sessions, synthesise and document findings for delivery to the Department of Treasury. The team comprised of:</w:t>
            </w:r>
          </w:p>
          <w:p w:rsidRPr="007C692F" w:rsidR="00B407A8" w:rsidP="00B407A8" w:rsidRDefault="00B407A8" w14:paraId="0692E01F" w14:textId="77777777">
            <w:pPr>
              <w:widowControl w:val="0"/>
              <w:numPr>
                <w:ilvl w:val="0"/>
                <w:numId w:val="22"/>
              </w:numPr>
              <w:spacing w:after="0"/>
              <w:rPr>
                <w:rFonts w:eastAsia="Georgia" w:asciiTheme="minorHAnsi" w:hAnsiTheme="minorHAnsi"/>
              </w:rPr>
            </w:pPr>
            <w:r w:rsidRPr="007C692F">
              <w:rPr>
                <w:rFonts w:eastAsia="Georgia" w:asciiTheme="minorHAnsi" w:hAnsiTheme="minorHAnsi"/>
                <w:b/>
              </w:rPr>
              <w:t xml:space="preserve">Lead Inclusive Tester (CFID) </w:t>
            </w:r>
            <w:r w:rsidRPr="007C692F">
              <w:rPr>
                <w:rFonts w:eastAsia="Georgia" w:asciiTheme="minorHAnsi" w:hAnsiTheme="minorHAnsi"/>
              </w:rPr>
              <w:t xml:space="preserve">- developed a testing approach, facilitated the testing process, led the </w:t>
            </w:r>
            <w:proofErr w:type="gramStart"/>
            <w:r w:rsidRPr="007C692F">
              <w:rPr>
                <w:rFonts w:eastAsia="Georgia" w:asciiTheme="minorHAnsi" w:hAnsiTheme="minorHAnsi"/>
              </w:rPr>
              <w:t>analysis</w:t>
            </w:r>
            <w:proofErr w:type="gramEnd"/>
            <w:r w:rsidRPr="007C692F">
              <w:rPr>
                <w:rFonts w:eastAsia="Georgia" w:asciiTheme="minorHAnsi" w:hAnsiTheme="minorHAnsi"/>
              </w:rPr>
              <w:t xml:space="preserve"> and documented the user testing report.</w:t>
            </w:r>
          </w:p>
          <w:p w:rsidRPr="007C692F" w:rsidR="00B407A8" w:rsidP="00B407A8" w:rsidRDefault="00B407A8" w14:paraId="4BACA794" w14:textId="77777777">
            <w:pPr>
              <w:widowControl w:val="0"/>
              <w:numPr>
                <w:ilvl w:val="0"/>
                <w:numId w:val="22"/>
              </w:numPr>
              <w:spacing w:after="0"/>
              <w:rPr>
                <w:rFonts w:eastAsia="Georgia" w:asciiTheme="minorHAnsi" w:hAnsiTheme="minorHAnsi"/>
              </w:rPr>
            </w:pPr>
            <w:r w:rsidRPr="007C692F">
              <w:rPr>
                <w:rFonts w:eastAsia="Georgia" w:asciiTheme="minorHAnsi" w:hAnsiTheme="minorHAnsi"/>
                <w:b/>
              </w:rPr>
              <w:t xml:space="preserve">Support Tester (PIC) </w:t>
            </w:r>
            <w:r w:rsidRPr="007C692F">
              <w:rPr>
                <w:rFonts w:eastAsia="Georgia" w:asciiTheme="minorHAnsi" w:hAnsiTheme="minorHAnsi"/>
              </w:rPr>
              <w:t>- Their role is to support the testing process, collect notes, and support the documentation of the report. For cultural safety purposes, PIC provided Indigenous staff during testing sessions with Indigenous participants.</w:t>
            </w:r>
          </w:p>
        </w:tc>
      </w:tr>
      <w:tr w:rsidRPr="007C692F" w:rsidR="00B407A8" w:rsidTr="007C692F" w14:paraId="26EA8480" w14:textId="77777777">
        <w:trPr>
          <w:trHeight w:val="960"/>
        </w:trPr>
        <w:tc>
          <w:tcPr>
            <w:tcW w:w="1973" w:type="dxa"/>
          </w:tcPr>
          <w:p w:rsidRPr="007C692F" w:rsidR="00B407A8" w:rsidP="00483F75" w:rsidRDefault="00B407A8" w14:paraId="25DB694F" w14:textId="77777777">
            <w:pPr>
              <w:widowControl w:val="0"/>
              <w:rPr>
                <w:rFonts w:eastAsia="Georgia" w:asciiTheme="minorHAnsi" w:hAnsiTheme="minorHAnsi"/>
                <w:b/>
              </w:rPr>
            </w:pPr>
            <w:r w:rsidRPr="007C692F">
              <w:rPr>
                <w:rFonts w:eastAsia="Georgia" w:asciiTheme="minorHAnsi" w:hAnsiTheme="minorHAnsi"/>
                <w:b/>
              </w:rPr>
              <w:t xml:space="preserve">Equipment and </w:t>
            </w:r>
            <w:proofErr w:type="gramStart"/>
            <w:r w:rsidRPr="007C692F">
              <w:rPr>
                <w:rFonts w:eastAsia="Georgia" w:asciiTheme="minorHAnsi" w:hAnsiTheme="minorHAnsi"/>
                <w:b/>
              </w:rPr>
              <w:t>Setting</w:t>
            </w:r>
            <w:proofErr w:type="gramEnd"/>
          </w:p>
        </w:tc>
        <w:tc>
          <w:tcPr>
            <w:tcW w:w="8137" w:type="dxa"/>
          </w:tcPr>
          <w:p w:rsidRPr="007C692F" w:rsidR="00B407A8" w:rsidP="00483F75" w:rsidRDefault="00B407A8" w14:paraId="6D63C0DB" w14:textId="77777777">
            <w:pPr>
              <w:rPr>
                <w:rFonts w:eastAsia="Georgia" w:asciiTheme="minorHAnsi" w:hAnsiTheme="minorHAnsi"/>
              </w:rPr>
            </w:pPr>
            <w:r w:rsidRPr="007C692F">
              <w:rPr>
                <w:rFonts w:eastAsia="Georgia" w:asciiTheme="minorHAnsi" w:hAnsiTheme="minorHAnsi"/>
              </w:rPr>
              <w:t>Testing was conducted in person and/or remotely depending on participant proximity to the testing facilities in Melbourne and Sydney. For in-person testing, we provided a computer or tablet or mobile phone for participants to undertake the screen flow tasks. For remote testing sessions participants were required access to Wi-Fi or cellular data coverage, as well as a video-capable computer or tablet or mobile phone for testing purposes. Facilitators utilised screen sharing functionality to guide participants through the screen flows. Video recording was undertaken to support notetaking and aid with analysis.</w:t>
            </w:r>
          </w:p>
        </w:tc>
      </w:tr>
    </w:tbl>
    <w:p w:rsidR="00B407A8" w:rsidP="00B407A8" w:rsidRDefault="00B407A8" w14:paraId="0DE9EE8E" w14:textId="77777777">
      <w:pPr>
        <w:pStyle w:val="PwCNormal"/>
        <w:numPr>
          <w:ilvl w:val="0"/>
          <w:numId w:val="0"/>
        </w:numPr>
        <w:ind w:left="720" w:hanging="360"/>
        <w:rPr>
          <w:rFonts w:eastAsia="Georgia"/>
          <w:snapToGrid/>
          <w:lang w:eastAsia="ja-JP"/>
        </w:rPr>
      </w:pPr>
      <w:bookmarkStart w:name="_mid9dyoypq2r" w:colFirst="0" w:colLast="0" w:id="21"/>
      <w:bookmarkStart w:name="_m1jpwpcmqtfd" w:colFirst="0" w:colLast="0" w:id="22"/>
      <w:bookmarkEnd w:id="21"/>
      <w:bookmarkEnd w:id="22"/>
    </w:p>
    <w:p w:rsidR="005C361E" w:rsidRDefault="005C361E" w14:paraId="199E32CB" w14:textId="53CBE21C">
      <w:pPr>
        <w:spacing w:after="160" w:line="259" w:lineRule="auto"/>
      </w:pPr>
      <w:r>
        <w:br w:type="page"/>
      </w:r>
    </w:p>
    <w:p w:rsidRPr="00626F29" w:rsidR="005C361E" w:rsidP="005C361E" w:rsidRDefault="005C361E" w14:paraId="6A30ED83" w14:textId="77777777">
      <w:pPr>
        <w:pStyle w:val="Heading3"/>
        <w:rPr>
          <w:rFonts w:ascii="Arial" w:hAnsi="Arial" w:eastAsia="Arial"/>
          <w:sz w:val="22"/>
          <w:szCs w:val="22"/>
        </w:rPr>
      </w:pPr>
      <w:r w:rsidRPr="00626F29">
        <w:rPr>
          <w:rFonts w:eastAsia="Georgia"/>
        </w:rPr>
        <w:lastRenderedPageBreak/>
        <w:t>Research objectives</w:t>
      </w:r>
    </w:p>
    <w:p w:rsidRPr="00626F29" w:rsidR="005C361E" w:rsidP="00FB034E" w:rsidRDefault="005C361E" w14:paraId="7214BCBD" w14:textId="77777777">
      <w:pPr>
        <w:rPr>
          <w:rFonts w:eastAsia="Georgia"/>
        </w:rPr>
      </w:pPr>
      <w:r w:rsidRPr="00626F29">
        <w:rPr>
          <w:rFonts w:eastAsia="Georgia"/>
        </w:rPr>
        <w:t xml:space="preserve">This Usability Testing (UT) research will be focused on the overall experience of users engaging with </w:t>
      </w:r>
      <w:r w:rsidRPr="00626F29">
        <w:rPr>
          <w:rFonts w:eastAsia="Georgia"/>
          <w:b/>
          <w:bCs/>
        </w:rPr>
        <w:t>CONSENT, AUTHENTICATE, and AUTHORISE</w:t>
      </w:r>
      <w:r w:rsidRPr="00626F29">
        <w:rPr>
          <w:rFonts w:eastAsia="Georgia"/>
        </w:rPr>
        <w:t xml:space="preserve"> experience flows interacting with a new CDR Flow prototype in code. This testing seeks to understand the hurdles that might prevent maximised:</w:t>
      </w:r>
    </w:p>
    <w:p w:rsidRPr="00626F29" w:rsidR="005C361E" w:rsidP="005C361E" w:rsidRDefault="005C361E" w14:paraId="20998C0F" w14:textId="77777777">
      <w:pPr>
        <w:numPr>
          <w:ilvl w:val="0"/>
          <w:numId w:val="25"/>
        </w:numPr>
        <w:spacing w:after="0"/>
        <w:rPr>
          <w:rFonts w:eastAsia="Georgia" w:cs="Georgia"/>
        </w:rPr>
      </w:pPr>
      <w:r w:rsidRPr="00626F29">
        <w:rPr>
          <w:rFonts w:eastAsia="Georgia" w:cs="Georgia"/>
          <w:b/>
        </w:rPr>
        <w:t xml:space="preserve">Accessibility </w:t>
      </w:r>
      <w:r w:rsidRPr="00626F29">
        <w:rPr>
          <w:rFonts w:eastAsia="Georgia" w:cs="Georgia"/>
        </w:rPr>
        <w:t>- a measure of how accessible a service is to users regardless of their digital confidence and access to a digital environment. This includes users in remote areas and users with different devices.</w:t>
      </w:r>
    </w:p>
    <w:p w:rsidRPr="00626F29" w:rsidR="005C361E" w:rsidP="005C361E" w:rsidRDefault="005C361E" w14:paraId="3D9ED66B" w14:textId="77777777">
      <w:pPr>
        <w:numPr>
          <w:ilvl w:val="0"/>
          <w:numId w:val="25"/>
        </w:numPr>
        <w:spacing w:after="0"/>
        <w:rPr>
          <w:rFonts w:eastAsia="Georgia" w:cs="Georgia"/>
        </w:rPr>
      </w:pPr>
      <w:r w:rsidRPr="00626F29">
        <w:rPr>
          <w:rFonts w:eastAsia="Georgia" w:cs="Georgia"/>
          <w:b/>
        </w:rPr>
        <w:t xml:space="preserve">Usability </w:t>
      </w:r>
      <w:r w:rsidRPr="00626F29">
        <w:rPr>
          <w:rFonts w:eastAsia="Georgia" w:cs="Georgia"/>
        </w:rPr>
        <w:t xml:space="preserve">- a measure of how well a specific user in a specific context can use a product/design to achieve a defined goal effectively, </w:t>
      </w:r>
      <w:proofErr w:type="gramStart"/>
      <w:r w:rsidRPr="00626F29">
        <w:rPr>
          <w:rFonts w:eastAsia="Georgia" w:cs="Georgia"/>
        </w:rPr>
        <w:t>efficiently</w:t>
      </w:r>
      <w:proofErr w:type="gramEnd"/>
      <w:r w:rsidRPr="00626F29">
        <w:rPr>
          <w:rFonts w:eastAsia="Georgia" w:cs="Georgia"/>
        </w:rPr>
        <w:t xml:space="preserve"> and satisfactorily.</w:t>
      </w:r>
    </w:p>
    <w:p w:rsidRPr="006D229A" w:rsidR="005C361E" w:rsidP="005C361E" w:rsidRDefault="005C361E" w14:paraId="11949ED7" w14:textId="77777777">
      <w:pPr>
        <w:spacing w:before="200"/>
        <w:rPr>
          <w:rFonts w:eastAsia="Georgia" w:cs="Georgia"/>
        </w:rPr>
      </w:pPr>
      <w:r w:rsidRPr="00626F29">
        <w:rPr>
          <w:rFonts w:eastAsia="Georgia" w:cs="Georgia"/>
        </w:rPr>
        <w:t xml:space="preserve">To help identify issues </w:t>
      </w:r>
      <w:r w:rsidRPr="006D229A">
        <w:rPr>
          <w:rFonts w:eastAsia="Georgia" w:cs="Georgia"/>
        </w:rPr>
        <w:t xml:space="preserve">consumers are likely to encounter and provide insights to improve the design and function of the screen flow from a usability and accessibility standpoint., our testing will primarily focus on validating the below customer experiences across the CDR Consent Flow. An example of the prototype can be found </w:t>
      </w:r>
      <w:r w:rsidRPr="006D229A">
        <w:rPr>
          <w:rFonts w:eastAsia="Georgia" w:cs="Georgia"/>
          <w:u w:val="single"/>
        </w:rPr>
        <w:t>here.</w:t>
      </w:r>
    </w:p>
    <w:p w:rsidRPr="006D229A" w:rsidR="005C361E" w:rsidP="005C361E" w:rsidRDefault="005C361E" w14:paraId="0D9E5B07" w14:textId="77777777">
      <w:pPr>
        <w:numPr>
          <w:ilvl w:val="0"/>
          <w:numId w:val="26"/>
        </w:numPr>
        <w:spacing w:before="200" w:after="0"/>
        <w:rPr>
          <w:rFonts w:eastAsia="Georgia" w:cs="Georgia"/>
        </w:rPr>
      </w:pPr>
      <w:r w:rsidRPr="006D229A">
        <w:rPr>
          <w:rFonts w:eastAsia="Georgia" w:cs="Georgia"/>
        </w:rPr>
        <w:t xml:space="preserve">Collection and use consents: </w:t>
      </w:r>
    </w:p>
    <w:p w:rsidRPr="006D229A" w:rsidR="005C361E" w:rsidP="005C361E" w:rsidRDefault="005C361E" w14:paraId="0F16C282" w14:textId="77777777">
      <w:pPr>
        <w:numPr>
          <w:ilvl w:val="1"/>
          <w:numId w:val="26"/>
        </w:numPr>
        <w:spacing w:after="0"/>
        <w:rPr>
          <w:rFonts w:eastAsia="Georgia" w:cs="Georgia"/>
        </w:rPr>
      </w:pPr>
      <w:r w:rsidRPr="006D229A">
        <w:rPr>
          <w:rFonts w:eastAsia="Georgia" w:cs="Georgia"/>
        </w:rPr>
        <w:t xml:space="preserve">Be as easy to understand as practicable, including by use of concise language and, where appropriate, visual aids. </w:t>
      </w:r>
    </w:p>
    <w:p w:rsidRPr="00626F29" w:rsidR="005C361E" w:rsidP="005C361E" w:rsidRDefault="005C361E" w14:paraId="7730BA15" w14:textId="77777777">
      <w:pPr>
        <w:numPr>
          <w:ilvl w:val="1"/>
          <w:numId w:val="26"/>
        </w:numPr>
        <w:spacing w:after="0"/>
        <w:rPr>
          <w:rFonts w:eastAsia="Georgia" w:cs="Georgia"/>
        </w:rPr>
      </w:pPr>
      <w:r w:rsidRPr="006D229A">
        <w:rPr>
          <w:rFonts w:eastAsia="Georgia" w:cs="Georgia"/>
        </w:rPr>
        <w:t xml:space="preserve">Provide the consumer with the </w:t>
      </w:r>
      <w:r w:rsidRPr="00626F29">
        <w:rPr>
          <w:rFonts w:eastAsia="Georgia" w:cs="Georgia"/>
        </w:rPr>
        <w:t xml:space="preserve">accredited person’s name and accreditation number </w:t>
      </w:r>
    </w:p>
    <w:p w:rsidRPr="00626F29" w:rsidR="005C361E" w:rsidP="005C361E" w:rsidRDefault="005C361E" w14:paraId="235FB510" w14:textId="77777777">
      <w:pPr>
        <w:numPr>
          <w:ilvl w:val="1"/>
          <w:numId w:val="26"/>
        </w:numPr>
        <w:spacing w:after="0"/>
        <w:rPr>
          <w:rFonts w:eastAsia="Georgia" w:cs="Georgia"/>
        </w:rPr>
      </w:pPr>
      <w:r w:rsidRPr="00626F29">
        <w:rPr>
          <w:rFonts w:eastAsia="Georgia" w:cs="Georgia"/>
        </w:rPr>
        <w:t xml:space="preserve">Conformance to other “MUST” and avoidance of “MUST NOT” item requirements in the relevant CX Guidelines. </w:t>
      </w:r>
    </w:p>
    <w:p w:rsidRPr="00626F29" w:rsidR="005C361E" w:rsidP="005C361E" w:rsidRDefault="005C361E" w14:paraId="29B1DCFD" w14:textId="77777777">
      <w:pPr>
        <w:numPr>
          <w:ilvl w:val="0"/>
          <w:numId w:val="26"/>
        </w:numPr>
        <w:spacing w:after="0"/>
        <w:rPr>
          <w:rFonts w:eastAsia="Georgia" w:cs="Georgia"/>
        </w:rPr>
      </w:pPr>
      <w:r w:rsidRPr="00626F29">
        <w:rPr>
          <w:rFonts w:eastAsia="Georgia" w:cs="Georgia"/>
        </w:rPr>
        <w:t>Authenticate and Redirect with One Time Password</w:t>
      </w:r>
    </w:p>
    <w:p w:rsidRPr="00626F29" w:rsidR="005C361E" w:rsidP="005C361E" w:rsidRDefault="005C361E" w14:paraId="277795E7" w14:textId="77777777">
      <w:pPr>
        <w:numPr>
          <w:ilvl w:val="1"/>
          <w:numId w:val="26"/>
        </w:numPr>
        <w:spacing w:after="0"/>
        <w:rPr>
          <w:rFonts w:eastAsia="Georgia" w:cs="Georgia"/>
        </w:rPr>
      </w:pPr>
      <w:r w:rsidRPr="00626F29">
        <w:rPr>
          <w:rFonts w:eastAsia="Georgia" w:cs="Georgia"/>
        </w:rPr>
        <w:t>Ensure that the CDR participant’s CDR policy is readily apparent and easily accessible.</w:t>
      </w:r>
    </w:p>
    <w:p w:rsidRPr="00626F29" w:rsidR="005C361E" w:rsidP="005C361E" w:rsidRDefault="005C361E" w14:paraId="31BE770A" w14:textId="77777777">
      <w:pPr>
        <w:numPr>
          <w:ilvl w:val="1"/>
          <w:numId w:val="26"/>
        </w:numPr>
        <w:spacing w:after="0"/>
        <w:rPr>
          <w:rFonts w:eastAsia="Georgia" w:cs="Georgia"/>
        </w:rPr>
      </w:pPr>
      <w:r w:rsidRPr="00626F29">
        <w:rPr>
          <w:rFonts w:eastAsia="Georgia" w:cs="Georgia"/>
        </w:rPr>
        <w:t>Clearly communicate to consumers that services utilising the CDR do not need access to consumer passwords for the purposes of sharing data.</w:t>
      </w:r>
    </w:p>
    <w:p w:rsidRPr="00626F29" w:rsidR="005C361E" w:rsidP="005C361E" w:rsidRDefault="005C361E" w14:paraId="72E99658" w14:textId="77777777">
      <w:pPr>
        <w:numPr>
          <w:ilvl w:val="1"/>
          <w:numId w:val="26"/>
        </w:numPr>
        <w:spacing w:after="0"/>
        <w:rPr>
          <w:rFonts w:eastAsia="Georgia" w:cs="Georgia"/>
        </w:rPr>
      </w:pPr>
      <w:r w:rsidRPr="00626F29">
        <w:rPr>
          <w:rFonts w:eastAsia="Georgia" w:cs="Georgia"/>
        </w:rPr>
        <w:t xml:space="preserve">Conformance to other “MUST” and avoidance of “MUST NOT” item requirements in the relevant CX Guidelines. </w:t>
      </w:r>
    </w:p>
    <w:p w:rsidRPr="00626F29" w:rsidR="005C361E" w:rsidP="005C361E" w:rsidRDefault="005C361E" w14:paraId="06399466" w14:textId="77777777">
      <w:pPr>
        <w:numPr>
          <w:ilvl w:val="0"/>
          <w:numId w:val="26"/>
        </w:numPr>
        <w:spacing w:after="0"/>
        <w:rPr>
          <w:rFonts w:eastAsia="Georgia" w:cs="Georgia"/>
        </w:rPr>
      </w:pPr>
      <w:r w:rsidRPr="00626F29">
        <w:rPr>
          <w:rFonts w:eastAsia="Georgia" w:cs="Georgia"/>
        </w:rPr>
        <w:t>Authorise to disclose:</w:t>
      </w:r>
    </w:p>
    <w:p w:rsidRPr="00626F29" w:rsidR="005C361E" w:rsidP="005C361E" w:rsidRDefault="005C361E" w14:paraId="69FECC38" w14:textId="77777777">
      <w:pPr>
        <w:numPr>
          <w:ilvl w:val="1"/>
          <w:numId w:val="26"/>
        </w:numPr>
        <w:spacing w:after="0"/>
        <w:rPr>
          <w:rFonts w:eastAsia="Georgia" w:cs="Georgia"/>
        </w:rPr>
      </w:pPr>
      <w:r w:rsidRPr="00626F29">
        <w:rPr>
          <w:rFonts w:eastAsia="Georgia" w:cs="Georgia"/>
        </w:rPr>
        <w:t>Ensure the data holder has provided the consumer the types of CDR data for which the data holder is seeking an authorisation to disclose.</w:t>
      </w:r>
    </w:p>
    <w:p w:rsidRPr="00626F29" w:rsidR="005C361E" w:rsidP="005C361E" w:rsidRDefault="005C361E" w14:paraId="6EED5EE7" w14:textId="77777777">
      <w:pPr>
        <w:numPr>
          <w:ilvl w:val="1"/>
          <w:numId w:val="26"/>
        </w:numPr>
        <w:spacing w:after="0"/>
        <w:rPr>
          <w:rFonts w:eastAsia="Georgia" w:cs="Georgia"/>
        </w:rPr>
      </w:pPr>
      <w:r w:rsidRPr="00626F29">
        <w:rPr>
          <w:rFonts w:eastAsia="Georgia" w:cs="Georgia"/>
        </w:rPr>
        <w:t xml:space="preserve">Ensure the data holder provides information to the consumer about the </w:t>
      </w:r>
      <w:proofErr w:type="gramStart"/>
      <w:r w:rsidRPr="00626F29">
        <w:rPr>
          <w:rFonts w:eastAsia="Georgia" w:cs="Georgia"/>
        </w:rPr>
        <w:t>period of time</w:t>
      </w:r>
      <w:proofErr w:type="gramEnd"/>
      <w:r w:rsidRPr="00626F29">
        <w:rPr>
          <w:rFonts w:eastAsia="Georgia" w:cs="Georgia"/>
        </w:rPr>
        <w:t xml:space="preserve"> to which the CDR data that was the subject of the request relates.</w:t>
      </w:r>
    </w:p>
    <w:p w:rsidRPr="00626F29" w:rsidR="005C361E" w:rsidP="005C361E" w:rsidRDefault="005C361E" w14:paraId="235EA69A" w14:textId="77777777">
      <w:pPr>
        <w:numPr>
          <w:ilvl w:val="1"/>
          <w:numId w:val="26"/>
        </w:numPr>
        <w:spacing w:after="0"/>
        <w:rPr>
          <w:rFonts w:eastAsia="Georgia" w:cs="Georgia"/>
        </w:rPr>
      </w:pPr>
      <w:r w:rsidRPr="00626F29">
        <w:rPr>
          <w:rFonts w:eastAsia="Georgia" w:cs="Georgia"/>
        </w:rPr>
        <w:t xml:space="preserve">Conformance to other “MUST” and avoidance of “MUST NOT” item requirements in the relevant CX Guidelines. </w:t>
      </w:r>
    </w:p>
    <w:p w:rsidRPr="00626F29" w:rsidR="005C361E" w:rsidP="005C361E" w:rsidRDefault="005C361E" w14:paraId="012A1DF8" w14:textId="77777777">
      <w:pPr>
        <w:spacing w:before="200"/>
        <w:rPr>
          <w:rFonts w:eastAsia="Georgia" w:cs="Georgia"/>
        </w:rPr>
      </w:pPr>
      <w:r w:rsidRPr="00626F29">
        <w:rPr>
          <w:rFonts w:eastAsia="Georgia" w:cs="Georgia"/>
          <w:noProof/>
          <w:color w:val="2B579A"/>
          <w:shd w:val="clear" w:color="auto" w:fill="E6E6E6"/>
        </w:rPr>
        <w:drawing>
          <wp:inline distT="114300" distB="114300" distL="114300" distR="114300" wp14:anchorId="47CC532A" wp14:editId="203C1E6D">
            <wp:extent cx="6408110" cy="3314700"/>
            <wp:effectExtent l="0" t="0" r="0" b="0"/>
            <wp:docPr id="16" name="image2.png" descr="Screen shot demonstrating issue described"/>
            <wp:cNvGraphicFramePr/>
            <a:graphic xmlns:a="http://schemas.openxmlformats.org/drawingml/2006/main">
              <a:graphicData uri="http://schemas.openxmlformats.org/drawingml/2006/picture">
                <pic:pic xmlns:pic="http://schemas.openxmlformats.org/drawingml/2006/picture">
                  <pic:nvPicPr>
                    <pic:cNvPr id="16" name="image2.png" descr="Screen shot demonstrating issue described"/>
                    <pic:cNvPicPr preferRelativeResize="0"/>
                  </pic:nvPicPr>
                  <pic:blipFill>
                    <a:blip r:embed="rId60"/>
                    <a:srcRect/>
                    <a:stretch>
                      <a:fillRect/>
                    </a:stretch>
                  </pic:blipFill>
                  <pic:spPr>
                    <a:xfrm>
                      <a:off x="0" y="0"/>
                      <a:ext cx="6408110" cy="3314700"/>
                    </a:xfrm>
                    <a:prstGeom prst="rect">
                      <a:avLst/>
                    </a:prstGeom>
                    <a:ln/>
                  </pic:spPr>
                </pic:pic>
              </a:graphicData>
            </a:graphic>
          </wp:inline>
        </w:drawing>
      </w:r>
    </w:p>
    <w:p w:rsidRPr="00626F29" w:rsidR="00D04027" w:rsidP="00D04027" w:rsidRDefault="00D04027" w14:paraId="00479A57" w14:textId="77777777">
      <w:pPr>
        <w:pStyle w:val="Heading3"/>
        <w:rPr>
          <w:rFonts w:eastAsia="Georgia"/>
        </w:rPr>
      </w:pPr>
      <w:r w:rsidRPr="00626F29">
        <w:rPr>
          <w:rFonts w:eastAsia="Georgia"/>
        </w:rPr>
        <w:t>Participants</w:t>
      </w:r>
    </w:p>
    <w:p w:rsidRPr="00626F29" w:rsidR="00D04027" w:rsidP="00D04027" w:rsidRDefault="00D04027" w14:paraId="55F8B141" w14:textId="77777777">
      <w:pPr>
        <w:widowControl w:val="0"/>
        <w:spacing w:before="200" w:after="200" w:line="276" w:lineRule="auto"/>
        <w:rPr>
          <w:rFonts w:eastAsia="Georgia" w:cs="Georgia"/>
        </w:rPr>
      </w:pPr>
      <w:r w:rsidRPr="00626F29">
        <w:rPr>
          <w:rFonts w:eastAsia="Georgia" w:cs="Georgia"/>
        </w:rPr>
        <w:lastRenderedPageBreak/>
        <w:t>Testing will be conducted one-on-one with people simulating an online banking experience. Here are some characteristics about who we will seek to recruit:</w:t>
      </w:r>
    </w:p>
    <w:p w:rsidRPr="00626F29" w:rsidR="00D04027" w:rsidP="00D04027" w:rsidRDefault="00D04027" w14:paraId="40B4E68D" w14:textId="77777777">
      <w:pPr>
        <w:pStyle w:val="Bulletpointdot"/>
      </w:pPr>
      <w:r w:rsidRPr="00626F29">
        <w:t xml:space="preserve">10 individual </w:t>
      </w:r>
      <w:proofErr w:type="gramStart"/>
      <w:r w:rsidRPr="00626F29">
        <w:t>users</w:t>
      </w:r>
      <w:proofErr w:type="gramEnd"/>
      <w:r w:rsidRPr="00626F29">
        <w:t xml:space="preserve"> total</w:t>
      </w:r>
    </w:p>
    <w:p w:rsidRPr="00626F29" w:rsidR="00D04027" w:rsidP="00D04027" w:rsidRDefault="00D04027" w14:paraId="76FD9293" w14:textId="77777777">
      <w:pPr>
        <w:pStyle w:val="Bulletpointdot"/>
      </w:pPr>
      <w:r w:rsidRPr="00626F29">
        <w:t xml:space="preserve">A mix of urban, </w:t>
      </w:r>
      <w:proofErr w:type="gramStart"/>
      <w:r w:rsidRPr="00626F29">
        <w:t>rural</w:t>
      </w:r>
      <w:proofErr w:type="gramEnd"/>
      <w:r w:rsidRPr="00626F29">
        <w:t xml:space="preserve"> and remote residents</w:t>
      </w:r>
    </w:p>
    <w:p w:rsidRPr="00626F29" w:rsidR="00D04027" w:rsidP="00D04027" w:rsidRDefault="00D04027" w14:paraId="78ED0C0F" w14:textId="77777777">
      <w:pPr>
        <w:pStyle w:val="Bulletpointdot"/>
      </w:pPr>
      <w:r w:rsidRPr="00626F29">
        <w:t xml:space="preserve">An even gender </w:t>
      </w:r>
      <w:proofErr w:type="gramStart"/>
      <w:r w:rsidRPr="00626F29">
        <w:t>balance</w:t>
      </w:r>
      <w:proofErr w:type="gramEnd"/>
    </w:p>
    <w:p w:rsidRPr="00626F29" w:rsidR="00D04027" w:rsidP="00D04027" w:rsidRDefault="00D04027" w14:paraId="38F482A0" w14:textId="77777777">
      <w:pPr>
        <w:pStyle w:val="Bulletpointdot"/>
      </w:pPr>
      <w:r w:rsidRPr="00626F29">
        <w:t>Aboriginal and Torres Strait Islander consumers</w:t>
      </w:r>
    </w:p>
    <w:p w:rsidRPr="00626F29" w:rsidR="00D04027" w:rsidP="00D04027" w:rsidRDefault="00D04027" w14:paraId="1744129D" w14:textId="77777777">
      <w:pPr>
        <w:pStyle w:val="Bulletpointdot"/>
      </w:pPr>
      <w:r w:rsidRPr="00626F29">
        <w:t>Other culturally and linguistically diverse consumers</w:t>
      </w:r>
    </w:p>
    <w:p w:rsidRPr="00626F29" w:rsidR="00D04027" w:rsidP="00D04027" w:rsidRDefault="00D04027" w14:paraId="298AC663" w14:textId="77777777">
      <w:pPr>
        <w:pStyle w:val="Bulletpointdot"/>
      </w:pPr>
      <w:r w:rsidRPr="00626F29">
        <w:t>A range of abilities including elderly, blind / low vision, deaf, mobility, cognitive and sensory will be represented</w:t>
      </w:r>
    </w:p>
    <w:p w:rsidRPr="00626F29" w:rsidR="00D04027" w:rsidP="00D04027" w:rsidRDefault="00D04027" w14:paraId="4BE98407" w14:textId="77777777">
      <w:pPr>
        <w:widowControl w:val="0"/>
        <w:spacing w:after="200" w:line="276" w:lineRule="auto"/>
        <w:rPr>
          <w:rFonts w:eastAsia="Georgia" w:cs="Georgia"/>
        </w:rPr>
      </w:pPr>
      <w:r w:rsidRPr="00626F29">
        <w:rPr>
          <w:rFonts w:eastAsia="Georgia" w:cs="Georgia"/>
        </w:rPr>
        <w:t>We will utilise our extensive networks in community to recruit.</w:t>
      </w:r>
    </w:p>
    <w:p w:rsidRPr="00626F29" w:rsidR="00D04027" w:rsidP="00D04027" w:rsidRDefault="00D04027" w14:paraId="587AE5FF" w14:textId="77777777">
      <w:pPr>
        <w:pStyle w:val="Heading3"/>
        <w:rPr>
          <w:rFonts w:eastAsia="Georgia"/>
        </w:rPr>
      </w:pPr>
      <w:r w:rsidRPr="00626F29">
        <w:rPr>
          <w:rFonts w:eastAsia="Georgia"/>
        </w:rPr>
        <w:t>Consent forms and incentive</w:t>
      </w:r>
    </w:p>
    <w:p w:rsidRPr="00626F29" w:rsidR="00D04027" w:rsidP="00D04027" w:rsidRDefault="00D04027" w14:paraId="7DD63F39" w14:textId="77777777">
      <w:pPr>
        <w:widowControl w:val="0"/>
        <w:spacing w:before="200" w:after="200" w:line="276" w:lineRule="auto"/>
        <w:rPr>
          <w:rFonts w:eastAsia="Georgia" w:cs="Georgia"/>
        </w:rPr>
      </w:pPr>
      <w:r w:rsidRPr="00626F29">
        <w:rPr>
          <w:rFonts w:eastAsia="Georgia" w:cs="Georgia"/>
        </w:rPr>
        <w:t xml:space="preserve">All participants </w:t>
      </w:r>
      <w:r>
        <w:rPr>
          <w:rFonts w:eastAsia="Georgia" w:cs="Georgia"/>
        </w:rPr>
        <w:t>were</w:t>
      </w:r>
      <w:r w:rsidRPr="00626F29">
        <w:rPr>
          <w:rFonts w:eastAsia="Georgia" w:cs="Georgia"/>
        </w:rPr>
        <w:t xml:space="preserve"> paid for their contribution. Payment is in the form of gift cards ($100 for 90 minutes). This can be sent electronically or physically. We also use a consent form that details how the testing will be conducted and what information will be shared and with whom. </w:t>
      </w:r>
    </w:p>
    <w:p w:rsidRPr="00740E28" w:rsidR="00D04027" w:rsidP="00D04027" w:rsidRDefault="00D04027" w14:paraId="1F447AE0" w14:textId="77777777">
      <w:pPr>
        <w:pStyle w:val="Heading3"/>
        <w:rPr>
          <w:rFonts w:eastAsia="Georgia"/>
        </w:rPr>
      </w:pPr>
      <w:r w:rsidRPr="00740E28">
        <w:rPr>
          <w:rFonts w:eastAsia="Georgia"/>
        </w:rPr>
        <w:t>Content to be tested</w:t>
      </w:r>
    </w:p>
    <w:p w:rsidRPr="00740E28" w:rsidR="00D04027" w:rsidP="00D04027" w:rsidRDefault="00D04027" w14:paraId="212A9EF2" w14:textId="77777777">
      <w:pPr>
        <w:pStyle w:val="Bulletpointdot"/>
        <w:rPr>
          <w:rFonts w:eastAsia="Arial"/>
          <w:lang w:eastAsia="ja-JP"/>
        </w:rPr>
      </w:pPr>
      <w:bookmarkStart w:name="_29g4wz5oubmq" w:colFirst="0" w:colLast="0" w:id="23"/>
      <w:bookmarkEnd w:id="23"/>
      <w:r w:rsidRPr="00740E28">
        <w:rPr>
          <w:rFonts w:eastAsia="Arial"/>
          <w:lang w:eastAsia="ja-JP"/>
        </w:rPr>
        <w:t xml:space="preserve">Link - </w:t>
      </w:r>
      <w:hyperlink w:history="1" r:id="rId61">
        <w:r w:rsidRPr="00740E28">
          <w:rPr>
            <w:rStyle w:val="Hyperlink"/>
            <w:rFonts w:eastAsia="Arial"/>
            <w:color w:val="auto"/>
            <w:lang w:eastAsia="ja-JP"/>
          </w:rPr>
          <w:t>https://cdrpoc-dev.azurewebsites.net/</w:t>
        </w:r>
      </w:hyperlink>
      <w:r w:rsidRPr="00740E28">
        <w:rPr>
          <w:rFonts w:eastAsia="Arial"/>
          <w:lang w:eastAsia="ja-JP"/>
        </w:rPr>
        <w:t xml:space="preserve"> </w:t>
      </w:r>
    </w:p>
    <w:p w:rsidRPr="00626F29" w:rsidR="00D04027" w:rsidP="00D04027" w:rsidRDefault="00D04027" w14:paraId="7B206CE6" w14:textId="77777777">
      <w:pPr>
        <w:pStyle w:val="Heading3"/>
        <w:rPr>
          <w:rFonts w:eastAsia="Georgia"/>
        </w:rPr>
      </w:pPr>
      <w:bookmarkStart w:name="_g21t3radfum9" w:colFirst="0" w:colLast="0" w:id="24"/>
      <w:bookmarkEnd w:id="24"/>
      <w:r w:rsidRPr="00626F29">
        <w:rPr>
          <w:rFonts w:eastAsia="Georgia"/>
        </w:rPr>
        <w:t>Testing format</w:t>
      </w:r>
    </w:p>
    <w:p w:rsidRPr="00626F29" w:rsidR="00D04027" w:rsidP="00D04027" w:rsidRDefault="00D04027" w14:paraId="25FE9C3B" w14:textId="77777777">
      <w:pPr>
        <w:pStyle w:val="Bulletpointdot"/>
      </w:pPr>
      <w:r w:rsidRPr="00626F29">
        <w:t>In-person or Virtual (zoom)</w:t>
      </w:r>
    </w:p>
    <w:p w:rsidRPr="00626F29" w:rsidR="00D04027" w:rsidP="00D04027" w:rsidRDefault="00D04027" w14:paraId="33BC53D5" w14:textId="77777777">
      <w:pPr>
        <w:pStyle w:val="Bulletpointdot"/>
      </w:pPr>
      <w:r w:rsidRPr="00626F29">
        <w:t>Desktop or tablet, mobile</w:t>
      </w:r>
    </w:p>
    <w:p w:rsidRPr="00626F29" w:rsidR="00D04027" w:rsidP="00D04027" w:rsidRDefault="00D04027" w14:paraId="5AE8E865" w14:textId="77777777">
      <w:pPr>
        <w:pStyle w:val="Bulletpointdot"/>
      </w:pPr>
      <w:r w:rsidRPr="00626F29">
        <w:t>Testing sessions occur</w:t>
      </w:r>
      <w:r>
        <w:t>red</w:t>
      </w:r>
      <w:r w:rsidRPr="00626F29">
        <w:t xml:space="preserve"> over 90 minutes with the first 30 minutes dedicated to introductions, project background and informed consent conversation and the remaining time dedicated to tasking, interviewing and observation to evaluate the usability and accessibility of the CDR Flow.</w:t>
      </w:r>
    </w:p>
    <w:p w:rsidRPr="00626F29" w:rsidR="00D04027" w:rsidP="00D04027" w:rsidRDefault="00D04027" w14:paraId="3428589D" w14:textId="77777777">
      <w:pPr>
        <w:pStyle w:val="Heading3"/>
        <w:rPr>
          <w:rFonts w:eastAsia="Georgia"/>
        </w:rPr>
      </w:pPr>
      <w:bookmarkStart w:name="_eq5iiluh9kpf" w:colFirst="0" w:colLast="0" w:id="25"/>
      <w:bookmarkEnd w:id="25"/>
      <w:r w:rsidRPr="00626F29">
        <w:rPr>
          <w:rFonts w:eastAsia="Georgia"/>
        </w:rPr>
        <w:t>When</w:t>
      </w:r>
    </w:p>
    <w:p w:rsidRPr="00626F29" w:rsidR="00D04027" w:rsidP="00D04027" w:rsidRDefault="00D04027" w14:paraId="0ADC446C" w14:textId="77777777">
      <w:pPr>
        <w:pStyle w:val="Bulletpointdot"/>
      </w:pPr>
      <w:r w:rsidRPr="00626F29">
        <w:t>Between 13/06/22 - 24/06/22</w:t>
      </w:r>
    </w:p>
    <w:p w:rsidRPr="00626F29" w:rsidR="00D04027" w:rsidP="00D04027" w:rsidRDefault="00D04027" w14:paraId="3F399E5A" w14:textId="77777777">
      <w:pPr>
        <w:pStyle w:val="Heading3"/>
        <w:rPr>
          <w:rFonts w:eastAsia="Georgia"/>
        </w:rPr>
      </w:pPr>
      <w:bookmarkStart w:name="_8r6ioe8jt3nl" w:colFirst="0" w:colLast="0" w:id="26"/>
      <w:bookmarkEnd w:id="26"/>
      <w:r w:rsidRPr="00626F29">
        <w:rPr>
          <w:rFonts w:eastAsia="Georgia"/>
        </w:rPr>
        <w:t>Facilitators</w:t>
      </w:r>
    </w:p>
    <w:p w:rsidRPr="00A52260" w:rsidR="00D04027" w:rsidP="00D04027" w:rsidRDefault="00D04027" w14:paraId="207CC89A" w14:textId="77777777">
      <w:pPr>
        <w:pStyle w:val="Bulletpointdot"/>
      </w:pPr>
      <w:r w:rsidRPr="00626F29">
        <w:t xml:space="preserve">Lead Facilitator (CFID) Alina </w:t>
      </w:r>
      <w:proofErr w:type="spellStart"/>
      <w:r w:rsidRPr="00626F29">
        <w:t>Butolina</w:t>
      </w:r>
      <w:proofErr w:type="spellEnd"/>
      <w:r>
        <w:t xml:space="preserve">; </w:t>
      </w:r>
      <w:r w:rsidRPr="00A52260">
        <w:t>Facilitator (PIC) - Cassandra Parkin</w:t>
      </w:r>
      <w:r>
        <w:t>.</w:t>
      </w:r>
    </w:p>
    <w:p w:rsidRPr="00626F29" w:rsidR="00D04027" w:rsidP="00D04027" w:rsidRDefault="00D04027" w14:paraId="6E28709E" w14:textId="77777777">
      <w:pPr>
        <w:pStyle w:val="Heading3"/>
        <w:rPr>
          <w:rFonts w:eastAsia="Georgia"/>
        </w:rPr>
      </w:pPr>
      <w:bookmarkStart w:name="_70hryz59ektt" w:colFirst="0" w:colLast="0" w:id="27"/>
      <w:bookmarkStart w:name="_a2nuyu1upir0" w:colFirst="0" w:colLast="0" w:id="28"/>
      <w:bookmarkEnd w:id="27"/>
      <w:bookmarkEnd w:id="28"/>
      <w:r w:rsidRPr="00626F29">
        <w:rPr>
          <w:rFonts w:eastAsia="Georgia"/>
        </w:rPr>
        <w:t>Reporting Results</w:t>
      </w:r>
    </w:p>
    <w:p w:rsidRPr="00626F29" w:rsidR="00D04027" w:rsidP="00D04027" w:rsidRDefault="00D04027" w14:paraId="207551D7" w14:textId="77777777">
      <w:pPr>
        <w:spacing w:after="160" w:line="256" w:lineRule="auto"/>
        <w:rPr>
          <w:rFonts w:eastAsia="Georgia" w:cs="Georgia"/>
        </w:rPr>
      </w:pPr>
      <w:r w:rsidRPr="00626F29">
        <w:rPr>
          <w:rFonts w:eastAsia="Georgia" w:cs="Georgia"/>
        </w:rPr>
        <w:t xml:space="preserve">The report </w:t>
      </w:r>
      <w:r>
        <w:rPr>
          <w:rFonts w:eastAsia="Georgia" w:cs="Georgia"/>
        </w:rPr>
        <w:t>was</w:t>
      </w:r>
      <w:r w:rsidRPr="00626F29">
        <w:rPr>
          <w:rFonts w:eastAsia="Georgia" w:cs="Georgia"/>
        </w:rPr>
        <w:t xml:space="preserve"> provided at the conclusion and analysis of the usability test at an agreed time. It consist</w:t>
      </w:r>
      <w:r>
        <w:rPr>
          <w:rFonts w:eastAsia="Georgia" w:cs="Georgia"/>
        </w:rPr>
        <w:t>s</w:t>
      </w:r>
      <w:r w:rsidRPr="00626F29">
        <w:rPr>
          <w:rFonts w:eastAsia="Georgia" w:cs="Georgia"/>
        </w:rPr>
        <w:t xml:space="preserve"> of a report and presentation of the results, objective evaluations, and specific usability and accessibility problems.</w:t>
      </w:r>
    </w:p>
    <w:p w:rsidRPr="00626F29" w:rsidR="00D04027" w:rsidP="00D04027" w:rsidRDefault="00D04027" w14:paraId="4FD16312" w14:textId="77777777">
      <w:pPr>
        <w:pStyle w:val="Heading3"/>
        <w:rPr>
          <w:rFonts w:eastAsia="Georgia"/>
        </w:rPr>
      </w:pPr>
      <w:bookmarkStart w:name="_rnts4ow38cvo" w:colFirst="0" w:colLast="0" w:id="29"/>
      <w:bookmarkEnd w:id="29"/>
      <w:r>
        <w:rPr>
          <w:rFonts w:eastAsia="Georgia"/>
        </w:rPr>
        <w:t>Approach</w:t>
      </w:r>
    </w:p>
    <w:p w:rsidRPr="00626F29" w:rsidR="00D04027" w:rsidP="00D04027" w:rsidRDefault="00D04027" w14:paraId="2ED28BB2" w14:textId="77777777">
      <w:pPr>
        <w:spacing w:after="160" w:line="256" w:lineRule="auto"/>
        <w:rPr>
          <w:rFonts w:eastAsia="Georgia" w:cs="Georgia"/>
        </w:rPr>
      </w:pPr>
      <w:r w:rsidRPr="00626F29">
        <w:rPr>
          <w:rFonts w:eastAsia="Georgia" w:cs="Georgia"/>
        </w:rPr>
        <w:t>Testing consist</w:t>
      </w:r>
      <w:r>
        <w:rPr>
          <w:rFonts w:eastAsia="Georgia" w:cs="Georgia"/>
        </w:rPr>
        <w:t>ed</w:t>
      </w:r>
      <w:r w:rsidRPr="00626F29">
        <w:rPr>
          <w:rFonts w:eastAsia="Georgia" w:cs="Georgia"/>
        </w:rPr>
        <w:t xml:space="preserve"> of a structured task-based system testing and analysis, involving the participating to perform a series of experiential tasks with the system. Participants will be prompted to “Speak Aloud” during their completion of tasks. Each task will be followed by metrics capture and open-ended questions discussing their experience.</w:t>
      </w:r>
    </w:p>
    <w:p w:rsidRPr="00626F29" w:rsidR="00D04027" w:rsidP="00D04027" w:rsidRDefault="00D04027" w14:paraId="5E46038E" w14:textId="77777777">
      <w:pPr>
        <w:spacing w:after="160" w:line="256" w:lineRule="auto"/>
        <w:rPr>
          <w:rFonts w:eastAsia="Georgia" w:cs="Georgia"/>
        </w:rPr>
      </w:pPr>
      <w:r w:rsidRPr="00626F29">
        <w:rPr>
          <w:rFonts w:eastAsia="Georgia" w:cs="Georgia"/>
        </w:rPr>
        <w:t>An open structure generate</w:t>
      </w:r>
      <w:r>
        <w:rPr>
          <w:rFonts w:eastAsia="Georgia" w:cs="Georgia"/>
        </w:rPr>
        <w:t>d</w:t>
      </w:r>
      <w:r w:rsidRPr="00626F29">
        <w:rPr>
          <w:rFonts w:eastAsia="Georgia" w:cs="Georgia"/>
        </w:rPr>
        <w:t xml:space="preserve"> discussion, allowing users to provide their general impressions and feedback on experiencing the overall document.</w:t>
      </w:r>
    </w:p>
    <w:p w:rsidRPr="00626F29" w:rsidR="00D04027" w:rsidP="00D04027" w:rsidRDefault="00D04027" w14:paraId="3F033AE6" w14:textId="77777777">
      <w:pPr>
        <w:spacing w:after="160" w:line="256" w:lineRule="auto"/>
        <w:rPr>
          <w:rFonts w:eastAsia="Georgia" w:cs="Georgia"/>
        </w:rPr>
      </w:pPr>
      <w:r w:rsidRPr="00626F29">
        <w:rPr>
          <w:rFonts w:eastAsia="Georgia" w:cs="Georgia"/>
        </w:rPr>
        <w:t xml:space="preserve">Areas of difficulty identified </w:t>
      </w:r>
      <w:r>
        <w:rPr>
          <w:rFonts w:eastAsia="Georgia" w:cs="Georgia"/>
        </w:rPr>
        <w:t>were</w:t>
      </w:r>
      <w:r w:rsidRPr="00626F29">
        <w:rPr>
          <w:rFonts w:eastAsia="Georgia" w:cs="Georgia"/>
        </w:rPr>
        <w:t xml:space="preserve"> discussed to identify ways to improve the user experience.</w:t>
      </w:r>
    </w:p>
    <w:p w:rsidRPr="00626F29" w:rsidR="00D04027" w:rsidP="00D04027" w:rsidRDefault="00D04027" w14:paraId="79F75B00" w14:textId="77777777">
      <w:pPr>
        <w:pStyle w:val="Heading3"/>
        <w:rPr>
          <w:rFonts w:eastAsia="Georgia"/>
        </w:rPr>
      </w:pPr>
      <w:bookmarkStart w:name="_ow0luiwxjpcj" w:colFirst="0" w:colLast="0" w:id="30"/>
      <w:bookmarkEnd w:id="30"/>
      <w:r w:rsidRPr="00626F29">
        <w:rPr>
          <w:rFonts w:eastAsia="Georgia"/>
        </w:rPr>
        <w:t>Task sequence (usability steps)</w:t>
      </w:r>
    </w:p>
    <w:p w:rsidRPr="00626F29" w:rsidR="00D04027" w:rsidP="00D04027" w:rsidRDefault="00D04027" w14:paraId="216AF9DA" w14:textId="77777777">
      <w:pPr>
        <w:spacing w:after="160" w:line="256" w:lineRule="auto"/>
        <w:rPr>
          <w:rFonts w:eastAsia="Georgia" w:cs="Georgia"/>
        </w:rPr>
      </w:pPr>
      <w:r w:rsidRPr="00626F29">
        <w:rPr>
          <w:rFonts w:eastAsia="Georgia" w:cs="Georgia"/>
        </w:rPr>
        <w:t>TASKS (in response)</w:t>
      </w:r>
    </w:p>
    <w:p w:rsidRPr="00626F29" w:rsidR="00D04027" w:rsidP="00D04027" w:rsidRDefault="00D04027" w14:paraId="1FFFD493" w14:textId="77777777">
      <w:pPr>
        <w:numPr>
          <w:ilvl w:val="0"/>
          <w:numId w:val="28"/>
        </w:numPr>
        <w:spacing w:after="0" w:line="256" w:lineRule="auto"/>
        <w:rPr>
          <w:rFonts w:eastAsia="Georgia" w:cs="Georgia"/>
        </w:rPr>
      </w:pPr>
      <w:r w:rsidRPr="00626F29">
        <w:rPr>
          <w:rFonts w:eastAsia="Georgia" w:cs="Georgia"/>
        </w:rPr>
        <w:lastRenderedPageBreak/>
        <w:t>Pre-consent – setup the experience and value proposition</w:t>
      </w:r>
    </w:p>
    <w:p w:rsidRPr="00626F29" w:rsidR="00D04027" w:rsidP="00D04027" w:rsidRDefault="00D04027" w14:paraId="348ABD9B" w14:textId="77777777">
      <w:pPr>
        <w:numPr>
          <w:ilvl w:val="0"/>
          <w:numId w:val="28"/>
        </w:numPr>
        <w:spacing w:after="0" w:line="256" w:lineRule="auto"/>
        <w:rPr>
          <w:rFonts w:eastAsia="Georgia" w:cs="Georgia"/>
        </w:rPr>
      </w:pPr>
      <w:r w:rsidRPr="00626F29">
        <w:rPr>
          <w:rFonts w:eastAsia="Georgia" w:cs="Georgia"/>
        </w:rPr>
        <w:t>Review the Consent prompts and instructions, then “Consent”.</w:t>
      </w:r>
    </w:p>
    <w:p w:rsidRPr="00626F29" w:rsidR="00D04027" w:rsidP="00D04027" w:rsidRDefault="00D04027" w14:paraId="4998B19C" w14:textId="77777777">
      <w:pPr>
        <w:numPr>
          <w:ilvl w:val="0"/>
          <w:numId w:val="28"/>
        </w:numPr>
        <w:spacing w:after="0" w:line="256" w:lineRule="auto"/>
        <w:rPr>
          <w:rFonts w:eastAsia="Georgia" w:cs="Georgia"/>
        </w:rPr>
      </w:pPr>
      <w:r w:rsidRPr="00626F29">
        <w:rPr>
          <w:rFonts w:eastAsia="Georgia" w:cs="Georgia"/>
        </w:rPr>
        <w:t>Review and navigate the Authenticate Login prompts and instructions.</w:t>
      </w:r>
    </w:p>
    <w:p w:rsidRPr="00626F29" w:rsidR="00D04027" w:rsidP="00D04027" w:rsidRDefault="00D04027" w14:paraId="01E28066" w14:textId="77777777">
      <w:pPr>
        <w:numPr>
          <w:ilvl w:val="0"/>
          <w:numId w:val="28"/>
        </w:numPr>
        <w:spacing w:after="160" w:line="256" w:lineRule="auto"/>
        <w:rPr>
          <w:rFonts w:eastAsia="Georgia" w:cs="Georgia"/>
        </w:rPr>
      </w:pPr>
      <w:r w:rsidRPr="00626F29">
        <w:rPr>
          <w:rFonts w:eastAsia="Georgia" w:cs="Georgia"/>
        </w:rPr>
        <w:t>Review and confirm the data request, then “Authorise”</w:t>
      </w:r>
      <w:bookmarkStart w:name="_rludxawxxjsa" w:id="31"/>
      <w:bookmarkEnd w:id="31"/>
    </w:p>
    <w:p w:rsidRPr="00626F29" w:rsidR="00540644" w:rsidP="00540644" w:rsidRDefault="00540644" w14:paraId="7D1E0395" w14:textId="77777777">
      <w:pPr>
        <w:pStyle w:val="Heading3"/>
        <w:rPr>
          <w:rFonts w:eastAsia="Georgia"/>
        </w:rPr>
      </w:pPr>
      <w:r w:rsidRPr="00626F29">
        <w:rPr>
          <w:rFonts w:eastAsia="Georgia"/>
        </w:rPr>
        <w:t>Session discussion guide</w:t>
      </w:r>
    </w:p>
    <w:p w:rsidRPr="00FE0BA2" w:rsidR="00540644" w:rsidP="00540644" w:rsidRDefault="00540644" w14:paraId="037C6AF6" w14:textId="77777777">
      <w:pPr>
        <w:pStyle w:val="Heading3"/>
        <w:rPr>
          <w:rFonts w:eastAsia="Georgia" w:cs="Georgia"/>
          <w:i/>
        </w:rPr>
      </w:pPr>
      <w:bookmarkStart w:name="_iu9l0erg1dam" w:colFirst="0" w:colLast="0" w:id="32"/>
      <w:bookmarkEnd w:id="32"/>
      <w:r w:rsidRPr="00FE0BA2">
        <w:t xml:space="preserve">Introduction </w:t>
      </w:r>
    </w:p>
    <w:p w:rsidRPr="00FE0BA2" w:rsidR="00540644" w:rsidP="00540644" w:rsidRDefault="00540644" w14:paraId="57200E59" w14:textId="77777777">
      <w:pPr>
        <w:pStyle w:val="Bulletpointdot"/>
      </w:pPr>
      <w:r w:rsidRPr="00FE0BA2">
        <w:t>Time taken: 30 minutes</w:t>
      </w:r>
    </w:p>
    <w:p w:rsidRPr="00FE0BA2" w:rsidR="00540644" w:rsidP="00540644" w:rsidRDefault="00540644" w14:paraId="03D341E7" w14:textId="77777777">
      <w:pPr>
        <w:spacing w:line="256" w:lineRule="auto"/>
        <w:ind w:left="1080" w:hanging="360"/>
        <w:rPr>
          <w:rFonts w:eastAsia="Georgia" w:cs="Georgia"/>
        </w:rPr>
      </w:pPr>
      <w:r w:rsidRPr="00FE0BA2">
        <w:rPr>
          <w:rFonts w:ascii="Arial" w:hAnsi="Arial" w:eastAsia="Arial"/>
        </w:rPr>
        <w:t>·</w:t>
      </w:r>
      <w:r w:rsidRPr="00FE0BA2">
        <w:rPr>
          <w:rFonts w:ascii="Times New Roman" w:hAnsi="Times New Roman" w:cs="Times New Roman"/>
        </w:rPr>
        <w:t xml:space="preserve">   </w:t>
      </w:r>
      <w:r w:rsidRPr="00FE0BA2">
        <w:rPr>
          <w:rFonts w:eastAsia="Georgia" w:cs="Georgia"/>
        </w:rPr>
        <w:tab/>
      </w:r>
      <w:r w:rsidRPr="00FE0BA2">
        <w:rPr>
          <w:rFonts w:eastAsia="Georgia" w:cs="Georgia"/>
        </w:rPr>
        <w:t>Good afternoon/morning! Thank you for agreeing to take part in this research with us. (Add some preamble to build rapport with participant)</w:t>
      </w:r>
    </w:p>
    <w:p w:rsidRPr="00FE0BA2" w:rsidR="00540644" w:rsidP="00540644" w:rsidRDefault="00540644" w14:paraId="5A93FF07" w14:textId="77777777">
      <w:pPr>
        <w:spacing w:line="256" w:lineRule="auto"/>
        <w:ind w:left="1080" w:hanging="360"/>
        <w:rPr>
          <w:rFonts w:eastAsia="Georgia" w:cs="Georgia"/>
          <w:b/>
          <w:bCs/>
        </w:rPr>
      </w:pPr>
      <w:r w:rsidRPr="00FE0BA2">
        <w:rPr>
          <w:rFonts w:eastAsia="Georgia" w:cs="Georgia"/>
        </w:rPr>
        <w:t xml:space="preserve">·   </w:t>
      </w:r>
      <w:r w:rsidRPr="00FE0BA2">
        <w:rPr>
          <w:rFonts w:eastAsia="Georgia" w:cs="Georgia"/>
        </w:rPr>
        <w:tab/>
      </w:r>
      <w:r w:rsidRPr="00FE0BA2">
        <w:rPr>
          <w:rFonts w:eastAsia="Georgia" w:cs="Georgia"/>
          <w:b/>
          <w:bCs/>
        </w:rPr>
        <w:t>Project background</w:t>
      </w:r>
    </w:p>
    <w:p w:rsidRPr="00FE0BA2" w:rsidR="00540644" w:rsidP="00540644" w:rsidRDefault="00540644" w14:paraId="7AAB8DA6" w14:textId="77777777">
      <w:pPr>
        <w:spacing w:line="276" w:lineRule="auto"/>
        <w:ind w:left="1800" w:hanging="360"/>
        <w:rPr>
          <w:rFonts w:eastAsia="Georgia" w:cs="Georgia"/>
        </w:rPr>
      </w:pPr>
      <w:r w:rsidRPr="00FE0BA2">
        <w:rPr>
          <w:rFonts w:eastAsia="Georgia" w:cs="Georgia"/>
        </w:rPr>
        <w:t>o   The Department of Treasury have engaged in this work with us as part of their commitment to inclusive practices and to gaining diverse feedback on their new data sharing consent flow. Your involvement in the study will help shape the usability and accessibility of their processes.</w:t>
      </w:r>
    </w:p>
    <w:p w:rsidRPr="00FE0BA2" w:rsidR="00540644" w:rsidP="00540644" w:rsidRDefault="00540644" w14:paraId="22661EE7" w14:textId="77777777">
      <w:pPr>
        <w:spacing w:line="256" w:lineRule="auto"/>
        <w:ind w:left="1800" w:hanging="360"/>
        <w:rPr>
          <w:rFonts w:eastAsia="Georgia" w:cs="Georgia"/>
        </w:rPr>
      </w:pPr>
      <w:r w:rsidRPr="00FE0BA2">
        <w:rPr>
          <w:rFonts w:eastAsia="Georgia" w:cs="Georgia"/>
        </w:rPr>
        <w:t>o   You have been invited to take part in this research because the Dept. seeks input from a diverse range of communities and experiences. Your experiences will be highly valued as we believe your interaction with the system can help review the usability and accessibility of the system.</w:t>
      </w:r>
    </w:p>
    <w:p w:rsidRPr="00FE0BA2" w:rsidR="00540644" w:rsidP="00540644" w:rsidRDefault="00540644" w14:paraId="42BC58A9" w14:textId="77777777">
      <w:pPr>
        <w:spacing w:line="256" w:lineRule="auto"/>
        <w:ind w:left="1080" w:hanging="360"/>
        <w:rPr>
          <w:rFonts w:eastAsia="Georgia" w:cs="Georgia"/>
          <w:b/>
          <w:bCs/>
        </w:rPr>
      </w:pPr>
      <w:r w:rsidRPr="00FE0BA2">
        <w:rPr>
          <w:rFonts w:eastAsia="Georgia" w:cs="Georgia"/>
        </w:rPr>
        <w:t xml:space="preserve">·   </w:t>
      </w:r>
      <w:r w:rsidRPr="00FE0BA2">
        <w:rPr>
          <w:rFonts w:eastAsia="Georgia" w:cs="Georgia"/>
        </w:rPr>
        <w:tab/>
      </w:r>
      <w:r w:rsidRPr="00FE0BA2">
        <w:rPr>
          <w:rFonts w:eastAsia="Georgia" w:cs="Georgia"/>
          <w:b/>
          <w:bCs/>
        </w:rPr>
        <w:t>How the session will run</w:t>
      </w:r>
    </w:p>
    <w:p w:rsidRPr="00FE0BA2" w:rsidR="00540644" w:rsidP="00540644" w:rsidRDefault="00540644" w14:paraId="4EA235F1" w14:textId="77777777">
      <w:pPr>
        <w:spacing w:line="256" w:lineRule="auto"/>
        <w:ind w:left="1800" w:hanging="360"/>
        <w:rPr>
          <w:rFonts w:eastAsia="Georgia" w:cs="Georgia"/>
        </w:rPr>
      </w:pPr>
      <w:r w:rsidRPr="00FE0BA2">
        <w:rPr>
          <w:rFonts w:eastAsia="Georgia" w:cs="Georgia"/>
        </w:rPr>
        <w:t>o   What we’ll be covering today is essentially, how you interact with the consent flow to identify what works and what not. And pull out some recommendations to enhance the experience.</w:t>
      </w:r>
    </w:p>
    <w:p w:rsidRPr="00FE0BA2" w:rsidR="00540644" w:rsidP="00540644" w:rsidRDefault="00540644" w14:paraId="3FFC43A1" w14:textId="77777777">
      <w:pPr>
        <w:spacing w:line="256" w:lineRule="auto"/>
        <w:ind w:left="1800" w:hanging="360"/>
        <w:rPr>
          <w:rFonts w:eastAsia="Georgia" w:cs="Georgia"/>
        </w:rPr>
      </w:pPr>
      <w:r w:rsidRPr="00FE0BA2">
        <w:rPr>
          <w:rFonts w:eastAsia="Georgia" w:cs="Georgia"/>
        </w:rPr>
        <w:t>o   I will be walking you through a series of tasks that will test the varying functions and actions of the consent flow.</w:t>
      </w:r>
    </w:p>
    <w:p w:rsidRPr="00FE0BA2" w:rsidR="00540644" w:rsidP="00540644" w:rsidRDefault="00540644" w14:paraId="4BBB529A" w14:textId="77777777">
      <w:pPr>
        <w:spacing w:line="256" w:lineRule="auto"/>
        <w:ind w:left="1080" w:hanging="360"/>
        <w:rPr>
          <w:rFonts w:eastAsia="Georgia" w:cs="Georgia"/>
          <w:b/>
          <w:bCs/>
        </w:rPr>
      </w:pPr>
      <w:r w:rsidRPr="00FE0BA2">
        <w:rPr>
          <w:rFonts w:eastAsia="Georgia" w:cs="Georgia"/>
        </w:rPr>
        <w:t xml:space="preserve">·   </w:t>
      </w:r>
      <w:r w:rsidRPr="00FE0BA2">
        <w:rPr>
          <w:rFonts w:eastAsia="Georgia" w:cs="Georgia"/>
        </w:rPr>
        <w:tab/>
      </w:r>
      <w:r w:rsidRPr="00FE0BA2">
        <w:rPr>
          <w:rFonts w:eastAsia="Georgia" w:cs="Georgia"/>
          <w:b/>
          <w:bCs/>
        </w:rPr>
        <w:t>Recording and confidentiality</w:t>
      </w:r>
    </w:p>
    <w:p w:rsidRPr="00FE0BA2" w:rsidR="00540644" w:rsidP="00540644" w:rsidRDefault="00540644" w14:paraId="6C5CB2FD" w14:textId="77777777">
      <w:pPr>
        <w:spacing w:line="256" w:lineRule="auto"/>
        <w:ind w:left="1800" w:hanging="360"/>
        <w:rPr>
          <w:rFonts w:eastAsia="Georgia" w:cs="Georgia"/>
        </w:rPr>
      </w:pPr>
      <w:r w:rsidRPr="00FE0BA2">
        <w:rPr>
          <w:rFonts w:eastAsia="Georgia" w:cs="Georgia"/>
        </w:rPr>
        <w:t>o   Purpose of video recording and transcription (</w:t>
      </w:r>
      <w:proofErr w:type="spellStart"/>
      <w:r w:rsidRPr="00FE0BA2">
        <w:rPr>
          <w:rFonts w:eastAsia="Georgia" w:cs="Georgia"/>
        </w:rPr>
        <w:t>CfID</w:t>
      </w:r>
      <w:proofErr w:type="spellEnd"/>
      <w:r w:rsidRPr="00FE0BA2">
        <w:rPr>
          <w:rFonts w:eastAsia="Georgia" w:cs="Georgia"/>
        </w:rPr>
        <w:t xml:space="preserve"> and PIC research team to analyse and note take post session)</w:t>
      </w:r>
    </w:p>
    <w:p w:rsidRPr="00FE0BA2" w:rsidR="00540644" w:rsidP="00540644" w:rsidRDefault="00540644" w14:paraId="3B4B73F8" w14:textId="77777777">
      <w:pPr>
        <w:spacing w:line="256" w:lineRule="auto"/>
        <w:ind w:left="1800" w:hanging="360"/>
        <w:rPr>
          <w:rFonts w:eastAsia="Georgia" w:cs="Georgia"/>
        </w:rPr>
      </w:pPr>
      <w:r w:rsidRPr="00FE0BA2">
        <w:rPr>
          <w:rFonts w:eastAsia="Georgia" w:cs="Georgia"/>
        </w:rPr>
        <w:t>o   Everything you say here is confidential and the information we collect will be de-identified after the interview (except in the case of video recordings)</w:t>
      </w:r>
    </w:p>
    <w:p w:rsidRPr="00FE0BA2" w:rsidR="00540644" w:rsidP="00540644" w:rsidRDefault="00540644" w14:paraId="58ACC5D6" w14:textId="77777777">
      <w:pPr>
        <w:spacing w:line="256" w:lineRule="auto"/>
        <w:ind w:left="1080" w:hanging="360"/>
        <w:rPr>
          <w:rFonts w:eastAsia="Georgia" w:cs="Georgia"/>
          <w:b/>
          <w:bCs/>
        </w:rPr>
      </w:pPr>
      <w:r w:rsidRPr="00FE0BA2">
        <w:rPr>
          <w:rFonts w:eastAsia="Georgia" w:cs="Georgia"/>
        </w:rPr>
        <w:t xml:space="preserve">·   </w:t>
      </w:r>
      <w:r w:rsidRPr="00FE0BA2">
        <w:rPr>
          <w:rFonts w:eastAsia="Georgia" w:cs="Georgia"/>
        </w:rPr>
        <w:tab/>
      </w:r>
      <w:r w:rsidRPr="00FE0BA2">
        <w:rPr>
          <w:rFonts w:eastAsia="Georgia" w:cs="Georgia"/>
          <w:b/>
          <w:bCs/>
        </w:rPr>
        <w:t>Session considerations</w:t>
      </w:r>
    </w:p>
    <w:p w:rsidRPr="00FE0BA2" w:rsidR="00540644" w:rsidP="00540644" w:rsidRDefault="00540644" w14:paraId="772E8D4A" w14:textId="77777777">
      <w:pPr>
        <w:spacing w:line="256" w:lineRule="auto"/>
        <w:ind w:left="1800" w:hanging="360"/>
        <w:rPr>
          <w:rFonts w:eastAsia="Georgia" w:cs="Georgia"/>
        </w:rPr>
      </w:pPr>
      <w:r w:rsidRPr="00FE0BA2">
        <w:rPr>
          <w:rFonts w:eastAsia="Georgia" w:cs="Georgia"/>
        </w:rPr>
        <w:t>o   If you ever find yourself uncomfortable with any of the questions of tasks let us know and we can skip them and move on to the next task. If you need any breaks, please let us know in between tasks.</w:t>
      </w:r>
    </w:p>
    <w:p w:rsidRPr="00FE0BA2" w:rsidR="00540644" w:rsidP="00540644" w:rsidRDefault="00540644" w14:paraId="4FEF34F6" w14:textId="77777777">
      <w:pPr>
        <w:spacing w:line="256" w:lineRule="auto"/>
        <w:ind w:left="1800" w:hanging="360"/>
        <w:rPr>
          <w:rFonts w:eastAsia="Georgia" w:cs="Georgia"/>
        </w:rPr>
      </w:pPr>
      <w:r w:rsidRPr="00FE0BA2">
        <w:rPr>
          <w:rFonts w:eastAsia="Georgia" w:cs="Georgia"/>
        </w:rPr>
        <w:t>o   This session is not testing your personal skills but rather the functionality and usability of the product. There are no right or wrong answers. We are aiming to improve any potential user issues that arise in these system analysis sessions and improve overall user experience.</w:t>
      </w:r>
    </w:p>
    <w:p w:rsidRPr="00FE0BA2" w:rsidR="00540644" w:rsidP="00540644" w:rsidRDefault="00540644" w14:paraId="26CF9C8F" w14:textId="77777777">
      <w:pPr>
        <w:spacing w:line="256" w:lineRule="auto"/>
        <w:ind w:left="1080" w:hanging="360"/>
        <w:rPr>
          <w:rFonts w:eastAsia="Georgia" w:cs="Georgia"/>
        </w:rPr>
      </w:pPr>
      <w:r w:rsidRPr="00FE0BA2">
        <w:rPr>
          <w:rFonts w:eastAsia="Georgia" w:cs="Georgia"/>
        </w:rPr>
        <w:t xml:space="preserve">·   </w:t>
      </w:r>
      <w:r w:rsidRPr="00FE0BA2">
        <w:rPr>
          <w:rFonts w:eastAsia="Georgia" w:cs="Georgia"/>
        </w:rPr>
        <w:tab/>
      </w:r>
      <w:r w:rsidRPr="00FE0BA2">
        <w:rPr>
          <w:rFonts w:eastAsia="Georgia" w:cs="Georgia"/>
          <w:b/>
          <w:bCs/>
        </w:rPr>
        <w:t>Consent and information form</w:t>
      </w:r>
      <w:r w:rsidRPr="00FE0BA2">
        <w:rPr>
          <w:rFonts w:eastAsia="Georgia" w:cs="Georgia"/>
        </w:rPr>
        <w:t xml:space="preserve"> – confirm participant has signed the form and understands the contents</w:t>
      </w:r>
    </w:p>
    <w:p w:rsidRPr="00FE0BA2" w:rsidR="00540644" w:rsidP="00540644" w:rsidRDefault="00540644" w14:paraId="05B5CF9A" w14:textId="77777777">
      <w:pPr>
        <w:spacing w:line="256" w:lineRule="auto"/>
        <w:ind w:left="1080" w:hanging="360"/>
        <w:rPr>
          <w:rFonts w:eastAsia="Georgia" w:cs="Georgia"/>
        </w:rPr>
      </w:pPr>
      <w:r w:rsidRPr="00FE0BA2">
        <w:rPr>
          <w:rFonts w:eastAsia="Georgia" w:cs="Georgia"/>
        </w:rPr>
        <w:t xml:space="preserve">·   </w:t>
      </w:r>
      <w:r w:rsidRPr="00FE0BA2">
        <w:rPr>
          <w:rFonts w:eastAsia="Georgia" w:cs="Georgia"/>
        </w:rPr>
        <w:tab/>
      </w:r>
      <w:r w:rsidRPr="00FE0BA2">
        <w:rPr>
          <w:rFonts w:eastAsia="Georgia" w:cs="Georgia"/>
        </w:rPr>
        <w:t>Incentive – virtual gift card after session?</w:t>
      </w:r>
    </w:p>
    <w:p w:rsidRPr="00FE0BA2" w:rsidR="00540644" w:rsidP="00540644" w:rsidRDefault="00540644" w14:paraId="2AE9FC85" w14:textId="77777777">
      <w:pPr>
        <w:spacing w:after="160" w:line="256" w:lineRule="auto"/>
        <w:ind w:left="1080" w:hanging="360"/>
        <w:rPr>
          <w:rFonts w:eastAsia="Georgia" w:cs="Georgia"/>
        </w:rPr>
      </w:pPr>
      <w:r w:rsidRPr="00FE0BA2">
        <w:rPr>
          <w:rFonts w:eastAsia="Georgia" w:cs="Georgia"/>
        </w:rPr>
        <w:t xml:space="preserve">·   </w:t>
      </w:r>
      <w:r w:rsidRPr="00FE0BA2">
        <w:rPr>
          <w:rFonts w:eastAsia="Georgia" w:cs="Georgia"/>
        </w:rPr>
        <w:tab/>
      </w:r>
      <w:r w:rsidRPr="00FE0BA2">
        <w:rPr>
          <w:rFonts w:eastAsia="Georgia" w:cs="Georgia"/>
        </w:rPr>
        <w:t>Any questions before we begin?</w:t>
      </w:r>
    </w:p>
    <w:p w:rsidRPr="00FE0BA2" w:rsidR="00540644" w:rsidP="00540644" w:rsidRDefault="00540644" w14:paraId="6D894F48" w14:textId="77777777">
      <w:pPr>
        <w:pStyle w:val="Heading3"/>
      </w:pPr>
      <w:r w:rsidRPr="00FE0BA2">
        <w:t>Pre-questions:</w:t>
      </w:r>
    </w:p>
    <w:p w:rsidRPr="00FE0BA2" w:rsidR="00540644" w:rsidP="00540644" w:rsidRDefault="00540644" w14:paraId="47B37C9C" w14:textId="77777777">
      <w:pPr>
        <w:numPr>
          <w:ilvl w:val="0"/>
          <w:numId w:val="31"/>
        </w:numPr>
        <w:spacing w:before="280" w:after="80" w:line="276" w:lineRule="auto"/>
        <w:contextualSpacing/>
        <w:rPr>
          <w:rFonts w:eastAsia="Georgia" w:cs="Georgia"/>
        </w:rPr>
      </w:pPr>
      <w:r w:rsidRPr="00FE0BA2">
        <w:rPr>
          <w:rFonts w:eastAsia="Georgia" w:cs="Georgia"/>
        </w:rPr>
        <w:t>Warm-up – Discuss a little bit more about yourself and what you do?</w:t>
      </w:r>
    </w:p>
    <w:p w:rsidRPr="00FE0BA2" w:rsidR="00540644" w:rsidP="00540644" w:rsidRDefault="00540644" w14:paraId="4BC04576" w14:textId="77777777">
      <w:pPr>
        <w:numPr>
          <w:ilvl w:val="0"/>
          <w:numId w:val="31"/>
        </w:numPr>
        <w:spacing w:before="280" w:after="80" w:line="276" w:lineRule="auto"/>
        <w:contextualSpacing/>
        <w:rPr>
          <w:rFonts w:eastAsia="Georgia" w:cs="Georgia"/>
        </w:rPr>
      </w:pPr>
      <w:r w:rsidRPr="00FE0BA2">
        <w:rPr>
          <w:rFonts w:eastAsia="Georgia" w:cs="Georgia"/>
        </w:rPr>
        <w:t xml:space="preserve">What does providing consent to data mean to you? </w:t>
      </w:r>
    </w:p>
    <w:p w:rsidRPr="00FE0BA2" w:rsidR="00540644" w:rsidP="00540644" w:rsidRDefault="00540644" w14:paraId="2A35A313" w14:textId="77777777">
      <w:pPr>
        <w:numPr>
          <w:ilvl w:val="0"/>
          <w:numId w:val="31"/>
        </w:numPr>
        <w:spacing w:before="280" w:after="80" w:line="276" w:lineRule="auto"/>
        <w:contextualSpacing/>
        <w:rPr>
          <w:rFonts w:eastAsia="Georgia" w:cs="Georgia"/>
        </w:rPr>
      </w:pPr>
      <w:r w:rsidRPr="00FE0BA2">
        <w:rPr>
          <w:rFonts w:eastAsia="Georgia" w:cs="Georgia"/>
        </w:rPr>
        <w:t>What are the important elements to consider when providing consent to share your data?</w:t>
      </w:r>
    </w:p>
    <w:p w:rsidRPr="00FE0BA2" w:rsidR="00540644" w:rsidP="00540644" w:rsidRDefault="00540644" w14:paraId="66BDD642" w14:textId="77777777">
      <w:pPr>
        <w:numPr>
          <w:ilvl w:val="0"/>
          <w:numId w:val="31"/>
        </w:numPr>
        <w:spacing w:before="280" w:after="80" w:line="276" w:lineRule="auto"/>
        <w:contextualSpacing/>
        <w:rPr>
          <w:rFonts w:eastAsia="Georgia" w:cs="Georgia"/>
        </w:rPr>
      </w:pPr>
      <w:r w:rsidRPr="00FE0BA2">
        <w:rPr>
          <w:rFonts w:eastAsia="Georgia" w:cs="Georgia"/>
        </w:rPr>
        <w:t>What applications would you provide consent in sharing your data? And which applications do you already provide consent to share your data?</w:t>
      </w:r>
    </w:p>
    <w:p w:rsidRPr="00FE0BA2" w:rsidR="00540644" w:rsidP="00540644" w:rsidRDefault="00540644" w14:paraId="1BD19153" w14:textId="77777777">
      <w:pPr>
        <w:numPr>
          <w:ilvl w:val="0"/>
          <w:numId w:val="31"/>
        </w:numPr>
        <w:spacing w:before="280" w:after="80" w:line="276" w:lineRule="auto"/>
        <w:contextualSpacing/>
        <w:rPr>
          <w:rFonts w:eastAsia="Georgia" w:cs="Georgia"/>
        </w:rPr>
      </w:pPr>
      <w:r w:rsidRPr="00FE0BA2">
        <w:rPr>
          <w:rFonts w:eastAsia="Georgia" w:cs="Georgia"/>
        </w:rPr>
        <w:lastRenderedPageBreak/>
        <w:t>What has been your experience with online consent to data sharing? Any examples of good or not so good experiences?</w:t>
      </w:r>
    </w:p>
    <w:p w:rsidRPr="00FE0BA2" w:rsidR="00540644" w:rsidP="00540644" w:rsidRDefault="00540644" w14:paraId="51C0CD7B" w14:textId="77777777">
      <w:pPr>
        <w:pStyle w:val="Heading3"/>
      </w:pPr>
      <w:r w:rsidRPr="00FE0BA2">
        <w:t xml:space="preserve">Scenario: </w:t>
      </w:r>
    </w:p>
    <w:p w:rsidRPr="00FE0BA2" w:rsidR="00540644" w:rsidP="00540644" w:rsidRDefault="00540644" w14:paraId="6C97C797" w14:textId="77777777">
      <w:pPr>
        <w:spacing w:after="160" w:line="256" w:lineRule="auto"/>
        <w:rPr>
          <w:rFonts w:eastAsia="Georgia" w:cs="Georgia"/>
        </w:rPr>
      </w:pPr>
      <w:r w:rsidRPr="00FE0BA2">
        <w:rPr>
          <w:rFonts w:eastAsia="Georgia" w:cs="Georgia"/>
        </w:rPr>
        <w:t>OK, so imagine you are thinking about switching your credit card or applying to get a new credit card. There is a mobile application that can help your get a better deal by accessing your personal banking information. By analysing your personal banking information, the application will be able to provide you with a range of different banking products that suit you.</w:t>
      </w:r>
    </w:p>
    <w:p w:rsidRPr="00FE0BA2" w:rsidR="00540644" w:rsidP="00540644" w:rsidRDefault="00540644" w14:paraId="15D0D8E1" w14:textId="77777777">
      <w:pPr>
        <w:spacing w:after="160" w:line="256" w:lineRule="auto"/>
        <w:rPr>
          <w:rFonts w:eastAsia="Georgia" w:cs="Georgia"/>
        </w:rPr>
      </w:pPr>
      <w:r w:rsidRPr="00FE0BA2">
        <w:rPr>
          <w:rFonts w:eastAsia="Georgia" w:cs="Georgia"/>
        </w:rPr>
        <w:t>We are going to test the consent feature in this application with you by asking you to click through a series of tasks in the consent model.</w:t>
      </w:r>
    </w:p>
    <w:p w:rsidRPr="00FE0BA2" w:rsidR="00540644" w:rsidP="00540644" w:rsidRDefault="00540644" w14:paraId="081CEE4F" w14:textId="77777777">
      <w:pPr>
        <w:spacing w:after="160" w:line="256" w:lineRule="auto"/>
        <w:rPr>
          <w:rFonts w:eastAsia="Georgia" w:cs="Georgia"/>
        </w:rPr>
      </w:pPr>
      <w:r w:rsidRPr="00FE0BA2">
        <w:rPr>
          <w:rFonts w:eastAsia="Georgia" w:cs="Georgia"/>
        </w:rPr>
        <w:t xml:space="preserve">As you walk through the screens, feel free to speak your mind and how you are feeling. </w:t>
      </w:r>
    </w:p>
    <w:p w:rsidR="00540644" w:rsidP="00540644" w:rsidRDefault="00540644" w14:paraId="58EEF383" w14:textId="51381672">
      <w:pPr>
        <w:spacing w:after="160" w:line="256" w:lineRule="auto"/>
        <w:rPr>
          <w:rFonts w:eastAsia="Georgia" w:cs="Georgia"/>
        </w:rPr>
      </w:pPr>
      <w:r w:rsidRPr="00FE0BA2">
        <w:rPr>
          <w:rFonts w:eastAsia="Georgia" w:cs="Georgia"/>
        </w:rPr>
        <w:t xml:space="preserve">This is not a test on you, but on our design of the consent flow </w:t>
      </w:r>
    </w:p>
    <w:p w:rsidRPr="00FE0BA2" w:rsidR="00540644" w:rsidP="00540644" w:rsidRDefault="00540644" w14:paraId="6FC1F917" w14:textId="77777777">
      <w:pPr>
        <w:spacing w:after="160" w:line="256" w:lineRule="auto"/>
        <w:rPr>
          <w:rFonts w:eastAsia="Georgia" w:cs="Georgia"/>
        </w:rPr>
      </w:pPr>
    </w:p>
    <w:p w:rsidRPr="00FE0BA2" w:rsidR="00540644" w:rsidP="00540644" w:rsidRDefault="00540644" w14:paraId="6200C5E0" w14:textId="77777777">
      <w:pPr>
        <w:spacing w:after="160" w:line="256" w:lineRule="auto"/>
        <w:rPr>
          <w:rFonts w:eastAsia="Georgia" w:cs="Georgia"/>
          <w:b/>
          <w:bCs/>
        </w:rPr>
      </w:pPr>
      <w:r w:rsidRPr="00FE0BA2">
        <w:rPr>
          <w:rFonts w:eastAsia="Georgia" w:cs="Georgia"/>
          <w:b/>
          <w:bCs/>
        </w:rPr>
        <w:t xml:space="preserve">TASK 1: Review the Pre-consent prompts and instructions, then “Continue” to CDR Flow. </w:t>
      </w:r>
    </w:p>
    <w:p w:rsidRPr="00FE0BA2" w:rsidR="00540644" w:rsidP="00540644" w:rsidRDefault="00540644" w14:paraId="52B401AF" w14:textId="77777777">
      <w:pPr>
        <w:spacing w:after="160" w:line="256" w:lineRule="auto"/>
        <w:rPr>
          <w:rFonts w:eastAsia="Georgia" w:cs="Georgia"/>
        </w:rPr>
      </w:pPr>
      <w:r w:rsidRPr="00FE0BA2">
        <w:rPr>
          <w:rFonts w:eastAsia="Georgia" w:cs="Georgia"/>
        </w:rPr>
        <w:t>Prompt: Read the information on each of the pages and when comfortable continue onto the next set of screens</w:t>
      </w:r>
    </w:p>
    <w:p w:rsidRPr="00FE0BA2" w:rsidR="00540644" w:rsidP="00540644" w:rsidRDefault="00540644" w14:paraId="5EB17236" w14:textId="77777777">
      <w:pPr>
        <w:spacing w:after="160" w:line="256" w:lineRule="auto"/>
        <w:rPr>
          <w:rFonts w:eastAsia="Georgia" w:cs="Georgia"/>
        </w:rPr>
      </w:pPr>
      <w:r w:rsidRPr="00FE0BA2">
        <w:rPr>
          <w:rFonts w:eastAsia="Georgia" w:cs="Georgia"/>
        </w:rPr>
        <w:t xml:space="preserve">Assess: </w:t>
      </w:r>
    </w:p>
    <w:p w:rsidRPr="00FE0BA2" w:rsidR="00540644" w:rsidP="00540644" w:rsidRDefault="00540644" w14:paraId="58776113" w14:textId="77777777">
      <w:pPr>
        <w:spacing w:after="160" w:line="256" w:lineRule="auto"/>
        <w:rPr>
          <w:rFonts w:eastAsia="Georgia" w:cs="Georgia"/>
        </w:rPr>
      </w:pPr>
      <w:r w:rsidRPr="00FE0BA2">
        <w:rPr>
          <w:rFonts w:eastAsia="Georgia" w:cs="Georgia"/>
        </w:rPr>
        <w:t>Does the participant see the benefit and risks in continuing onto the state stage of the consent flow?</w:t>
      </w:r>
    </w:p>
    <w:p w:rsidRPr="00FE0BA2" w:rsidR="00540644" w:rsidP="00540644" w:rsidRDefault="00540644" w14:paraId="76D3FF79" w14:textId="77777777">
      <w:pPr>
        <w:spacing w:after="160" w:line="256" w:lineRule="auto"/>
        <w:rPr>
          <w:rFonts w:eastAsia="Georgia" w:cs="Georgia"/>
        </w:rPr>
      </w:pPr>
      <w:r w:rsidRPr="00FE0BA2">
        <w:rPr>
          <w:rFonts w:eastAsia="Georgia" w:cs="Georgia"/>
        </w:rPr>
        <w:t xml:space="preserve">Does the participant understand the consent process they are about to engage with before entering the next stage? </w:t>
      </w:r>
    </w:p>
    <w:p w:rsidRPr="00FE0BA2" w:rsidR="00540644" w:rsidP="00540644" w:rsidRDefault="00540644" w14:paraId="3DFCC28A" w14:textId="77777777">
      <w:pPr>
        <w:spacing w:after="160" w:line="256" w:lineRule="auto"/>
        <w:ind w:firstLine="720"/>
        <w:rPr>
          <w:rFonts w:eastAsia="Georgia" w:cs="Georgia"/>
        </w:rPr>
      </w:pPr>
      <w:r w:rsidRPr="00FE0BA2">
        <w:rPr>
          <w:rFonts w:eastAsia="Georgia" w:cs="Georgia"/>
        </w:rPr>
        <w:t xml:space="preserve"> </w:t>
      </w:r>
    </w:p>
    <w:p w:rsidRPr="00FE0BA2" w:rsidR="00540644" w:rsidP="00540644" w:rsidRDefault="00540644" w14:paraId="24BFEC18" w14:textId="77777777">
      <w:pPr>
        <w:spacing w:after="160" w:line="256" w:lineRule="auto"/>
        <w:rPr>
          <w:rFonts w:eastAsia="Georgia" w:cs="Georgia"/>
          <w:b/>
          <w:bCs/>
        </w:rPr>
      </w:pPr>
      <w:r w:rsidRPr="00FE0BA2">
        <w:rPr>
          <w:rFonts w:eastAsia="Georgia" w:cs="Georgia"/>
          <w:b/>
          <w:bCs/>
        </w:rPr>
        <w:t>TASK 2: Review and navigate through the Consent flow of screens prompts and instructions.</w:t>
      </w:r>
    </w:p>
    <w:p w:rsidRPr="00FE0BA2" w:rsidR="00540644" w:rsidP="00540644" w:rsidRDefault="00540644" w14:paraId="71D124E4" w14:textId="77777777">
      <w:pPr>
        <w:spacing w:after="160" w:line="256" w:lineRule="auto"/>
        <w:rPr>
          <w:rFonts w:eastAsia="Georgia" w:cs="Georgia"/>
        </w:rPr>
      </w:pPr>
      <w:r w:rsidRPr="00FE0BA2">
        <w:rPr>
          <w:rFonts w:eastAsia="Georgia" w:cs="Georgia"/>
        </w:rPr>
        <w:t xml:space="preserve">Prompt: Select a provider to share data, select your data to share and the data groups you want to provide access with and consent to the collection and use of your data. </w:t>
      </w:r>
    </w:p>
    <w:p w:rsidRPr="00FE0BA2" w:rsidR="00540644" w:rsidP="00540644" w:rsidRDefault="00540644" w14:paraId="7F81264D" w14:textId="77777777">
      <w:pPr>
        <w:spacing w:after="160" w:line="256" w:lineRule="auto"/>
        <w:rPr>
          <w:rFonts w:eastAsia="Georgia" w:cs="Georgia"/>
        </w:rPr>
      </w:pPr>
      <w:r w:rsidRPr="00FE0BA2">
        <w:rPr>
          <w:rFonts w:eastAsia="Georgia" w:cs="Georgia"/>
        </w:rPr>
        <w:t>Explore the option of denying and cancelling the request to share</w:t>
      </w:r>
    </w:p>
    <w:p w:rsidRPr="00FE0BA2" w:rsidR="00540644" w:rsidP="00540644" w:rsidRDefault="00540644" w14:paraId="18A75255" w14:textId="77777777">
      <w:pPr>
        <w:spacing w:after="160" w:line="256" w:lineRule="auto"/>
        <w:rPr>
          <w:rFonts w:eastAsia="Georgia" w:cs="Georgia"/>
        </w:rPr>
      </w:pPr>
      <w:r w:rsidRPr="00FE0BA2">
        <w:rPr>
          <w:rFonts w:eastAsia="Georgia" w:cs="Georgia"/>
        </w:rPr>
        <w:t xml:space="preserve">Assess: </w:t>
      </w:r>
    </w:p>
    <w:p w:rsidRPr="009B0C5C" w:rsidR="00540644" w:rsidP="00540644" w:rsidRDefault="00540644" w14:paraId="660E522E" w14:textId="77777777">
      <w:pPr>
        <w:pStyle w:val="ListParagraph"/>
        <w:numPr>
          <w:ilvl w:val="0"/>
          <w:numId w:val="32"/>
        </w:numPr>
        <w:kinsoku/>
        <w:overflowPunct/>
        <w:autoSpaceDE/>
        <w:autoSpaceDN/>
        <w:adjustRightInd/>
        <w:snapToGrid/>
        <w:spacing w:after="160" w:line="256" w:lineRule="auto"/>
        <w:rPr>
          <w:rFonts w:eastAsia="Georgia" w:cs="Georgia"/>
          <w:snapToGrid/>
        </w:rPr>
      </w:pPr>
      <w:r w:rsidRPr="009B0C5C">
        <w:rPr>
          <w:rFonts w:eastAsia="Georgia" w:cs="Georgia"/>
          <w:snapToGrid/>
        </w:rPr>
        <w:t>Does the participant understand how consent is framed through the screen?</w:t>
      </w:r>
    </w:p>
    <w:p w:rsidRPr="009B0C5C" w:rsidR="00540644" w:rsidP="00540644" w:rsidRDefault="00540644" w14:paraId="4E739D9B" w14:textId="77777777">
      <w:pPr>
        <w:pStyle w:val="ListParagraph"/>
        <w:numPr>
          <w:ilvl w:val="0"/>
          <w:numId w:val="32"/>
        </w:numPr>
        <w:kinsoku/>
        <w:overflowPunct/>
        <w:autoSpaceDE/>
        <w:autoSpaceDN/>
        <w:adjustRightInd/>
        <w:snapToGrid/>
        <w:spacing w:after="160" w:line="256" w:lineRule="auto"/>
        <w:rPr>
          <w:rFonts w:eastAsia="Georgia" w:cs="Georgia"/>
          <w:snapToGrid/>
        </w:rPr>
      </w:pPr>
      <w:r w:rsidRPr="009B0C5C">
        <w:rPr>
          <w:rFonts w:eastAsia="Georgia" w:cs="Georgia"/>
          <w:snapToGrid/>
        </w:rPr>
        <w:t>Can the participant navigate through the various screens?</w:t>
      </w:r>
    </w:p>
    <w:p w:rsidRPr="009B0C5C" w:rsidR="00540644" w:rsidP="00540644" w:rsidRDefault="00540644" w14:paraId="4472168E" w14:textId="77777777">
      <w:pPr>
        <w:pStyle w:val="ListParagraph"/>
        <w:numPr>
          <w:ilvl w:val="0"/>
          <w:numId w:val="32"/>
        </w:numPr>
        <w:kinsoku/>
        <w:overflowPunct/>
        <w:autoSpaceDE/>
        <w:autoSpaceDN/>
        <w:adjustRightInd/>
        <w:snapToGrid/>
        <w:spacing w:after="160" w:line="256" w:lineRule="auto"/>
        <w:rPr>
          <w:rFonts w:eastAsia="Georgia" w:cs="Georgia"/>
          <w:snapToGrid/>
        </w:rPr>
      </w:pPr>
      <w:r w:rsidRPr="009B0C5C">
        <w:rPr>
          <w:rFonts w:eastAsia="Georgia" w:cs="Georgia"/>
          <w:snapToGrid/>
        </w:rPr>
        <w:t>Does the participant have a sense of where they need to select to progress in the consent flow?</w:t>
      </w:r>
    </w:p>
    <w:p w:rsidRPr="009B0C5C" w:rsidR="00540644" w:rsidP="00540644" w:rsidRDefault="00540644" w14:paraId="67D817DB" w14:textId="77777777">
      <w:pPr>
        <w:pStyle w:val="ListParagraph"/>
        <w:numPr>
          <w:ilvl w:val="0"/>
          <w:numId w:val="32"/>
        </w:numPr>
        <w:kinsoku/>
        <w:overflowPunct/>
        <w:autoSpaceDE/>
        <w:autoSpaceDN/>
        <w:adjustRightInd/>
        <w:snapToGrid/>
        <w:spacing w:after="160" w:line="256" w:lineRule="auto"/>
        <w:rPr>
          <w:rFonts w:eastAsia="Georgia" w:cs="Georgia"/>
          <w:snapToGrid/>
        </w:rPr>
      </w:pPr>
      <w:r w:rsidRPr="009B0C5C">
        <w:rPr>
          <w:rFonts w:eastAsia="Georgia" w:cs="Georgia"/>
          <w:snapToGrid/>
        </w:rPr>
        <w:t>Do the users understand the language used in how we communicate data clusters and fields?</w:t>
      </w:r>
    </w:p>
    <w:p w:rsidRPr="009B0C5C" w:rsidR="00540644" w:rsidP="00540644" w:rsidRDefault="00540644" w14:paraId="68181754" w14:textId="77777777">
      <w:pPr>
        <w:pStyle w:val="ListParagraph"/>
        <w:numPr>
          <w:ilvl w:val="0"/>
          <w:numId w:val="32"/>
        </w:numPr>
        <w:kinsoku/>
        <w:overflowPunct/>
        <w:autoSpaceDE/>
        <w:autoSpaceDN/>
        <w:adjustRightInd/>
        <w:snapToGrid/>
        <w:spacing w:after="160" w:line="256" w:lineRule="auto"/>
        <w:rPr>
          <w:rFonts w:eastAsia="Georgia" w:cs="Georgia"/>
          <w:snapToGrid/>
        </w:rPr>
      </w:pPr>
      <w:r w:rsidRPr="009B0C5C">
        <w:rPr>
          <w:rFonts w:eastAsia="Georgia" w:cs="Georgia"/>
          <w:snapToGrid/>
        </w:rPr>
        <w:t>Do they feel confident in their decision?</w:t>
      </w:r>
    </w:p>
    <w:p w:rsidRPr="00FE0BA2" w:rsidR="00540644" w:rsidP="00540644" w:rsidRDefault="00540644" w14:paraId="7F43EB7F" w14:textId="77777777">
      <w:pPr>
        <w:spacing w:after="160" w:line="256" w:lineRule="auto"/>
        <w:rPr>
          <w:rFonts w:eastAsia="Georgia" w:cs="Georgia"/>
          <w:b/>
          <w:bCs/>
        </w:rPr>
      </w:pPr>
    </w:p>
    <w:p w:rsidRPr="00FE0BA2" w:rsidR="00540644" w:rsidP="00540644" w:rsidRDefault="00540644" w14:paraId="6BAE5C3F" w14:textId="77777777">
      <w:pPr>
        <w:spacing w:after="160" w:line="256" w:lineRule="auto"/>
        <w:rPr>
          <w:rFonts w:eastAsia="Georgia" w:cs="Georgia"/>
        </w:rPr>
      </w:pPr>
      <w:r w:rsidRPr="00FE0BA2">
        <w:rPr>
          <w:rFonts w:eastAsia="Georgia" w:cs="Georgia"/>
          <w:b/>
          <w:bCs/>
        </w:rPr>
        <w:t>TASK 3: Review and navigate the Authentication screen prompts and instructions, then “Continue”.</w:t>
      </w:r>
      <w:r w:rsidRPr="00FE0BA2">
        <w:rPr>
          <w:rFonts w:eastAsia="Georgia" w:cs="Georgia"/>
        </w:rPr>
        <w:tab/>
      </w:r>
    </w:p>
    <w:p w:rsidRPr="00FE0BA2" w:rsidR="00540644" w:rsidP="00540644" w:rsidRDefault="00540644" w14:paraId="1B15D97F" w14:textId="77777777">
      <w:pPr>
        <w:spacing w:after="160" w:line="256" w:lineRule="auto"/>
        <w:rPr>
          <w:rFonts w:eastAsia="Georgia" w:cs="Georgia"/>
        </w:rPr>
      </w:pPr>
      <w:r w:rsidRPr="00FE0BA2">
        <w:rPr>
          <w:rFonts w:eastAsia="Georgia" w:cs="Georgia"/>
        </w:rPr>
        <w:t>Prompt: Login to bank using authentication screens, type any number as your identifier and imagine you received a onetime password on the phone to input as part of the authentication process. Follow the prompts to complete your authentication process.</w:t>
      </w:r>
    </w:p>
    <w:p w:rsidRPr="00FE0BA2" w:rsidR="00540644" w:rsidP="00540644" w:rsidRDefault="00540644" w14:paraId="30459350" w14:textId="77777777">
      <w:pPr>
        <w:spacing w:after="160" w:line="256" w:lineRule="auto"/>
        <w:rPr>
          <w:rFonts w:eastAsia="Georgia" w:cs="Georgia"/>
        </w:rPr>
      </w:pPr>
      <w:r w:rsidRPr="00FE0BA2">
        <w:rPr>
          <w:rFonts w:eastAsia="Georgia" w:cs="Georgia"/>
        </w:rPr>
        <w:t>Assess: Does the participant understand that they are taken to a login to access their banking data and how these fits into the consent model?</w:t>
      </w:r>
    </w:p>
    <w:p w:rsidRPr="00FE0BA2" w:rsidR="00540644" w:rsidP="00540644" w:rsidRDefault="00540644" w14:paraId="7831240C" w14:textId="77777777">
      <w:pPr>
        <w:spacing w:after="160" w:line="256" w:lineRule="auto"/>
        <w:rPr>
          <w:rFonts w:eastAsia="Georgia" w:cs="Georgia"/>
        </w:rPr>
      </w:pPr>
      <w:r w:rsidRPr="00FE0BA2">
        <w:rPr>
          <w:rFonts w:eastAsia="Georgia" w:cs="Georgia"/>
        </w:rPr>
        <w:t>Does the participant feel safe and have trust in this authentication process to access their data?</w:t>
      </w:r>
    </w:p>
    <w:p w:rsidRPr="00FE0BA2" w:rsidR="00540644" w:rsidP="00540644" w:rsidRDefault="00540644" w14:paraId="1040E536" w14:textId="77777777">
      <w:pPr>
        <w:spacing w:after="160" w:line="256" w:lineRule="auto"/>
        <w:rPr>
          <w:rFonts w:eastAsia="Georgia" w:cs="Georgia"/>
        </w:rPr>
      </w:pPr>
      <w:r w:rsidRPr="00FE0BA2">
        <w:rPr>
          <w:rFonts w:eastAsia="Georgia" w:cs="Georgia"/>
        </w:rPr>
        <w:t xml:space="preserve"> </w:t>
      </w:r>
    </w:p>
    <w:p w:rsidRPr="00FE0BA2" w:rsidR="00540644" w:rsidP="00540644" w:rsidRDefault="00540644" w14:paraId="24A5FE0B" w14:textId="77777777">
      <w:pPr>
        <w:spacing w:after="160" w:line="256" w:lineRule="auto"/>
        <w:rPr>
          <w:rFonts w:eastAsia="Georgia" w:cs="Georgia"/>
        </w:rPr>
      </w:pPr>
      <w:r w:rsidRPr="00FE0BA2">
        <w:rPr>
          <w:rFonts w:eastAsia="Georgia" w:cs="Georgia"/>
          <w:b/>
          <w:bCs/>
        </w:rPr>
        <w:lastRenderedPageBreak/>
        <w:t>TASK 4:  Review and navigate the Authorisation screen prompts and instructions, then “Continue”.</w:t>
      </w:r>
      <w:r w:rsidRPr="00FE0BA2">
        <w:rPr>
          <w:rFonts w:eastAsia="Georgia" w:cs="Georgia"/>
        </w:rPr>
        <w:tab/>
      </w:r>
    </w:p>
    <w:p w:rsidRPr="00FE0BA2" w:rsidR="00540644" w:rsidP="00540644" w:rsidRDefault="00540644" w14:paraId="0F0FB308" w14:textId="77777777">
      <w:pPr>
        <w:spacing w:after="160" w:line="256" w:lineRule="auto"/>
        <w:rPr>
          <w:rFonts w:eastAsia="Georgia" w:cs="Georgia"/>
        </w:rPr>
      </w:pPr>
      <w:r w:rsidRPr="00FE0BA2">
        <w:rPr>
          <w:rFonts w:eastAsia="Georgia" w:cs="Georgia"/>
        </w:rPr>
        <w:t>Prompt: Once you have logged in, select the accounts you want to share, confirm what and authorise what data you want to share to complete the consent flow. Completing this set of screens is the final part of the consent model which will take you to a recommended product comparison tool based on the data you have provided. They can also try and cancel sharing at any point in time.</w:t>
      </w:r>
    </w:p>
    <w:p w:rsidRPr="00FE0BA2" w:rsidR="00540644" w:rsidP="00540644" w:rsidRDefault="00540644" w14:paraId="6853F4DF" w14:textId="77777777">
      <w:pPr>
        <w:spacing w:after="160" w:line="256" w:lineRule="auto"/>
        <w:rPr>
          <w:rFonts w:eastAsia="Georgia" w:cs="Georgia"/>
        </w:rPr>
      </w:pPr>
      <w:r w:rsidRPr="00FE0BA2">
        <w:rPr>
          <w:rFonts w:eastAsia="Georgia" w:cs="Georgia"/>
        </w:rPr>
        <w:t>Assess: How does the participant feel after completing this stage?</w:t>
      </w:r>
    </w:p>
    <w:p w:rsidRPr="00FE0BA2" w:rsidR="00540644" w:rsidP="00540644" w:rsidRDefault="00540644" w14:paraId="77E60D56" w14:textId="77777777">
      <w:pPr>
        <w:spacing w:after="160" w:line="256" w:lineRule="auto"/>
        <w:rPr>
          <w:rFonts w:eastAsia="Georgia" w:cs="Georgia"/>
          <w:b/>
          <w:bCs/>
        </w:rPr>
      </w:pPr>
      <w:r w:rsidRPr="00FE0BA2">
        <w:rPr>
          <w:rFonts w:eastAsia="Georgia" w:cs="Georgia"/>
          <w:b/>
          <w:bCs/>
        </w:rPr>
        <w:t>Post questions:</w:t>
      </w:r>
    </w:p>
    <w:p w:rsidRPr="00FE0BA2" w:rsidR="00540644" w:rsidP="00540644" w:rsidRDefault="00540644" w14:paraId="4F9AA5E3" w14:textId="77777777">
      <w:pPr>
        <w:numPr>
          <w:ilvl w:val="0"/>
          <w:numId w:val="30"/>
        </w:numPr>
        <w:spacing w:after="160" w:line="256" w:lineRule="auto"/>
        <w:contextualSpacing/>
        <w:rPr>
          <w:rFonts w:eastAsia="Georgia" w:cs="Georgia"/>
        </w:rPr>
      </w:pPr>
      <w:r w:rsidRPr="00FE0BA2">
        <w:rPr>
          <w:rFonts w:eastAsia="Georgia" w:cs="Georgia"/>
        </w:rPr>
        <w:t>Based on this experience, would you be likely to use a digital service that followed this Consent flow?</w:t>
      </w:r>
    </w:p>
    <w:p w:rsidRPr="00FE0BA2" w:rsidR="00540644" w:rsidP="00540644" w:rsidRDefault="00540644" w14:paraId="7ADAC2DD" w14:textId="77777777">
      <w:pPr>
        <w:numPr>
          <w:ilvl w:val="0"/>
          <w:numId w:val="30"/>
        </w:numPr>
        <w:spacing w:after="160" w:line="256" w:lineRule="auto"/>
        <w:contextualSpacing/>
        <w:rPr>
          <w:rFonts w:eastAsia="Georgia" w:cs="Georgia"/>
        </w:rPr>
      </w:pPr>
      <w:r w:rsidRPr="00FE0BA2">
        <w:rPr>
          <w:rFonts w:eastAsia="Georgia" w:cs="Georgia"/>
        </w:rPr>
        <w:t>CX metrics introduction – as part of the testing process we are going to do an activity where we ask you a series of questions on what you have experienced to and test whether you feel like you have given informed consent in this testing experience</w:t>
      </w:r>
    </w:p>
    <w:p w:rsidR="002D7E39" w:rsidRDefault="002D7E39" w14:paraId="4FAE3B97" w14:textId="58BC4F4E">
      <w:pPr>
        <w:spacing w:after="160" w:line="259" w:lineRule="auto"/>
        <w:rPr>
          <w:lang w:val="en-AU"/>
        </w:rPr>
      </w:pPr>
      <w:r>
        <w:rPr>
          <w:lang w:val="en-AU"/>
        </w:rPr>
        <w:br w:type="page"/>
      </w:r>
    </w:p>
    <w:p w:rsidR="006037F7" w:rsidP="002D7E39" w:rsidRDefault="002D7E39" w14:paraId="4B3B5860" w14:textId="02786C50">
      <w:pPr>
        <w:pStyle w:val="Heading1"/>
      </w:pPr>
      <w:bookmarkStart w:name="_Toc113622662" w:id="33"/>
      <w:bookmarkStart w:name="_Toc115693178" w:id="34"/>
      <w:r>
        <w:lastRenderedPageBreak/>
        <w:t>Appendix B</w:t>
      </w:r>
      <w:r>
        <w:tab/>
      </w:r>
      <w:r w:rsidRPr="0E33E786">
        <w:t>Prototype outputs</w:t>
      </w:r>
      <w:bookmarkEnd w:id="33"/>
      <w:bookmarkEnd w:id="34"/>
    </w:p>
    <w:p w:rsidRPr="008D5BCB" w:rsidR="008D5BCB" w:rsidP="008D5BCB" w:rsidRDefault="008D5BCB" w14:paraId="34A05E24" w14:textId="77777777">
      <w:pPr>
        <w:rPr>
          <w:lang w:val="en-AU"/>
        </w:rPr>
      </w:pPr>
      <w:r w:rsidRPr="008D5BCB">
        <w:rPr>
          <w:lang w:val="en-AU"/>
        </w:rPr>
        <w:t xml:space="preserve">The developed prototype was used for the Consumer Testing of ten participants with a range of disabilities and spread across a range of demographic attributes e.g., Indigenous, Cultural and Linguistically Diverse and English as a Second Language cohort. The completed prototype and all its supporting assets have been shared with DSB to be uploaded to </w:t>
      </w:r>
      <w:hyperlink r:id="rId62">
        <w:r w:rsidRPr="008D5BCB">
          <w:rPr>
            <w:rStyle w:val="Hyperlink"/>
            <w:color w:val="auto"/>
            <w:lang w:val="en-AU"/>
          </w:rPr>
          <w:t>CDR’s CX Guideline Notion knowledge portal</w:t>
        </w:r>
      </w:hyperlink>
      <w:r w:rsidRPr="008D5BCB">
        <w:rPr>
          <w:lang w:val="en-AU"/>
        </w:rPr>
        <w:t>. Depending on the outcomes of the project, Treasury may decide to publish the open-source code to make it more tangible for industry stakeholders to implement their own CDR Flow that meets the current Standards and Guidelines.</w:t>
      </w:r>
    </w:p>
    <w:p w:rsidRPr="008D5BCB" w:rsidR="008D5BCB" w:rsidP="008D5BCB" w:rsidRDefault="008D5BCB" w14:paraId="07484C58" w14:textId="77777777">
      <w:pPr>
        <w:rPr>
          <w:lang w:val="en-AU"/>
        </w:rPr>
      </w:pPr>
    </w:p>
    <w:p w:rsidRPr="008D5BCB" w:rsidR="008D5BCB" w:rsidP="008D5BCB" w:rsidRDefault="008D5BCB" w14:paraId="22E79BC6" w14:textId="633BD520">
      <w:pPr>
        <w:rPr>
          <w:lang w:val="en-AU"/>
        </w:rPr>
      </w:pPr>
      <w:r w:rsidRPr="008D5BCB">
        <w:rPr>
          <w:lang w:val="en-AU"/>
        </w:rPr>
        <w:t>The coded prototype of the CDR consent flow included a “happy path”</w:t>
      </w:r>
      <w:r w:rsidRPr="008D5BCB">
        <w:rPr>
          <w:vertAlign w:val="superscript"/>
          <w:lang w:val="en-AU"/>
        </w:rPr>
        <w:footnoteReference w:id="4"/>
      </w:r>
      <w:r w:rsidRPr="008D5BCB">
        <w:rPr>
          <w:lang w:val="en-AU"/>
        </w:rPr>
        <w:t xml:space="preserve"> experience of the Consent Model - Consent, Authenticate and Authorise flows. The following table documents the three stages and build assumptions for the development of the coded prototype.</w:t>
      </w:r>
    </w:p>
    <w:p w:rsidRPr="006D229A" w:rsidR="004154CE" w:rsidP="004154CE" w:rsidRDefault="004154CE" w14:paraId="6DDAB5AC" w14:textId="77777777">
      <w:pPr>
        <w:pStyle w:val="NormalWeb"/>
        <w:spacing w:before="0" w:beforeAutospacing="0" w:after="0" w:afterAutospacing="0"/>
        <w:rPr>
          <w:rFonts w:ascii="Georgia" w:hAnsi="Georgia"/>
          <w:sz w:val="20"/>
          <w:szCs w:val="20"/>
        </w:rPr>
      </w:pPr>
    </w:p>
    <w:tbl>
      <w:tblPr>
        <w:tblStyle w:val="GridTable1Light"/>
        <w:tblW w:w="0" w:type="auto"/>
        <w:tblLook w:val="04A0" w:firstRow="1" w:lastRow="0" w:firstColumn="1" w:lastColumn="0" w:noHBand="0" w:noVBand="1"/>
      </w:tblPr>
      <w:tblGrid>
        <w:gridCol w:w="3285"/>
        <w:gridCol w:w="3285"/>
        <w:gridCol w:w="3285"/>
      </w:tblGrid>
      <w:tr w:rsidRPr="007C692F" w:rsidR="006D229A" w:rsidTr="007C692F" w14:paraId="793D07D2" w14:textId="77777777">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0" w:type="auto"/>
            <w:gridSpan w:val="3"/>
            <w:hideMark/>
          </w:tcPr>
          <w:p w:rsidRPr="007C692F" w:rsidR="004154CE" w:rsidP="004154CE" w:rsidRDefault="009B4FF6" w14:paraId="7A786EBB" w14:textId="77777777">
            <w:pPr>
              <w:rPr>
                <w:rFonts w:asciiTheme="minorHAnsi" w:hAnsiTheme="minorHAnsi"/>
              </w:rPr>
            </w:pPr>
            <w:hyperlink r:id="rId63">
              <w:r w:rsidRPr="007C692F" w:rsidR="004154CE">
                <w:rPr>
                  <w:rStyle w:val="Hyperlink"/>
                  <w:rFonts w:asciiTheme="minorHAnsi" w:hAnsiTheme="minorHAnsi"/>
                  <w:color w:val="auto"/>
                </w:rPr>
                <w:t xml:space="preserve">End to End CDR Consent Flow </w:t>
              </w:r>
            </w:hyperlink>
            <w:r w:rsidRPr="007C692F" w:rsidR="004154CE">
              <w:rPr>
                <w:rFonts w:asciiTheme="minorHAnsi" w:hAnsiTheme="minorHAnsi"/>
                <w:shd w:val="clear" w:color="auto" w:fill="E6E6E6"/>
              </w:rPr>
              <w:t xml:space="preserve"> </w:t>
            </w:r>
            <w:r w:rsidRPr="007C692F" w:rsidR="004154CE">
              <w:rPr>
                <w:rFonts w:asciiTheme="minorHAnsi" w:hAnsiTheme="minorHAnsi"/>
              </w:rPr>
              <w:t>Shows the three stages of the CDR flow in a clickable prototype. Shows the three stages of the CDR flow in a clickable prototype.</w:t>
            </w:r>
          </w:p>
        </w:tc>
      </w:tr>
      <w:tr w:rsidRPr="007C692F" w:rsidR="006D229A" w:rsidTr="007C692F" w14:paraId="03B0C7B1"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7C692F" w:rsidR="004154CE" w:rsidP="00483F75" w:rsidRDefault="009B4FF6" w14:paraId="3562084A" w14:textId="77777777">
            <w:pPr>
              <w:pStyle w:val="NormalWeb"/>
              <w:spacing w:before="0" w:beforeAutospacing="0" w:after="0" w:afterAutospacing="0"/>
              <w:rPr>
                <w:rFonts w:asciiTheme="minorHAnsi" w:hAnsiTheme="minorHAnsi" w:cstheme="minorHAnsi"/>
                <w:b w:val="0"/>
                <w:sz w:val="20"/>
                <w:szCs w:val="20"/>
              </w:rPr>
            </w:pPr>
            <w:hyperlink w:history="1" r:id="rId64">
              <w:r w:rsidRPr="007C692F" w:rsidR="004154CE">
                <w:rPr>
                  <w:rStyle w:val="Hyperlink"/>
                  <w:rFonts w:asciiTheme="minorHAnsi" w:hAnsiTheme="minorHAnsi" w:cstheme="minorHAnsi"/>
                  <w:color w:val="auto"/>
                  <w:sz w:val="20"/>
                  <w:szCs w:val="20"/>
                </w:rPr>
                <w:t>Consent</w:t>
              </w:r>
            </w:hyperlink>
          </w:p>
          <w:p w:rsidRPr="007C692F" w:rsidR="004154CE" w:rsidP="00483F75" w:rsidRDefault="004154CE" w14:paraId="0CE4C23F" w14:textId="77777777">
            <w:pPr>
              <w:pStyle w:val="NormalWeb"/>
              <w:spacing w:before="0" w:beforeAutospacing="0" w:after="0" w:afterAutospacing="0"/>
              <w:rPr>
                <w:rFonts w:asciiTheme="minorHAnsi" w:hAnsiTheme="minorHAnsi" w:cstheme="minorHAnsi"/>
              </w:rPr>
            </w:pPr>
            <w:r w:rsidRPr="007C692F">
              <w:rPr>
                <w:rFonts w:asciiTheme="minorHAnsi" w:hAnsiTheme="minorHAnsi" w:cstheme="minorHAnsi"/>
                <w:sz w:val="20"/>
                <w:szCs w:val="20"/>
              </w:rPr>
              <w:t>Detailed Design documentation</w:t>
            </w:r>
          </w:p>
          <w:p w:rsidRPr="007C692F" w:rsidR="004154CE" w:rsidP="00483F75" w:rsidRDefault="004154CE" w14:paraId="3EFCA9AD" w14:textId="77777777">
            <w:pPr>
              <w:pStyle w:val="NormalWeb"/>
              <w:spacing w:before="0" w:beforeAutospacing="0" w:after="0" w:afterAutospacing="0"/>
              <w:rPr>
                <w:rFonts w:asciiTheme="minorHAnsi" w:hAnsiTheme="minorHAnsi" w:cstheme="minorHAnsi"/>
              </w:rPr>
            </w:pPr>
            <w:r w:rsidRPr="007C692F">
              <w:rPr>
                <w:rFonts w:asciiTheme="minorHAnsi" w:hAnsiTheme="minorHAnsi" w:cstheme="minorHAnsi"/>
                <w:sz w:val="20"/>
                <w:szCs w:val="20"/>
              </w:rPr>
              <w:t>In-scope pages</w:t>
            </w:r>
          </w:p>
          <w:p w:rsidRPr="007C692F" w:rsidR="004154CE" w:rsidP="004154CE" w:rsidRDefault="004154CE" w14:paraId="7E0633ED" w14:textId="77777777">
            <w:pPr>
              <w:pStyle w:val="NormalWeb"/>
              <w:numPr>
                <w:ilvl w:val="0"/>
                <w:numId w:val="33"/>
              </w:numPr>
              <w:spacing w:before="0" w:beforeAutospacing="0" w:after="0" w:afterAutospacing="0"/>
              <w:textAlignment w:val="baseline"/>
              <w:rPr>
                <w:rFonts w:asciiTheme="minorHAnsi" w:hAnsiTheme="minorHAnsi" w:cstheme="minorHAnsi"/>
                <w:sz w:val="20"/>
                <w:szCs w:val="20"/>
              </w:rPr>
            </w:pPr>
            <w:r w:rsidRPr="007C692F">
              <w:rPr>
                <w:rFonts w:asciiTheme="minorHAnsi" w:hAnsiTheme="minorHAnsi" w:cstheme="minorHAnsi"/>
                <w:sz w:val="20"/>
                <w:szCs w:val="20"/>
              </w:rPr>
              <w:t> 00/01/02- Collection and use consents - default example</w:t>
            </w:r>
          </w:p>
          <w:p w:rsidRPr="007C692F" w:rsidR="004154CE" w:rsidP="00483F75" w:rsidRDefault="004154CE" w14:paraId="4F030262" w14:textId="77777777">
            <w:pPr>
              <w:rPr>
                <w:rFonts w:asciiTheme="minorHAnsi" w:hAnsiTheme="minorHAnsi"/>
                <w:sz w:val="24"/>
                <w:szCs w:val="24"/>
              </w:rPr>
            </w:pPr>
          </w:p>
          <w:p w:rsidRPr="007C692F" w:rsidR="004154CE" w:rsidP="00483F75" w:rsidRDefault="004154CE" w14:paraId="417F4A09" w14:textId="77777777">
            <w:pPr>
              <w:pStyle w:val="NormalWeb"/>
              <w:spacing w:before="0" w:beforeAutospacing="0" w:after="0" w:afterAutospacing="0"/>
              <w:rPr>
                <w:rFonts w:asciiTheme="minorHAnsi" w:hAnsiTheme="minorHAnsi" w:cstheme="minorHAnsi"/>
              </w:rPr>
            </w:pPr>
            <w:r w:rsidRPr="007C692F">
              <w:rPr>
                <w:rFonts w:asciiTheme="minorHAnsi" w:hAnsiTheme="minorHAnsi" w:cstheme="minorHAnsi"/>
                <w:sz w:val="20"/>
                <w:szCs w:val="20"/>
              </w:rPr>
              <w:t>Out-of-scope pages</w:t>
            </w:r>
          </w:p>
          <w:p w:rsidRPr="007C692F" w:rsidR="004154CE" w:rsidP="004154CE" w:rsidRDefault="004154CE" w14:paraId="4B480C57" w14:textId="77777777">
            <w:pPr>
              <w:pStyle w:val="NormalWeb"/>
              <w:numPr>
                <w:ilvl w:val="0"/>
                <w:numId w:val="34"/>
              </w:numPr>
              <w:spacing w:before="0" w:beforeAutospacing="0" w:after="0" w:afterAutospacing="0"/>
              <w:textAlignment w:val="baseline"/>
              <w:rPr>
                <w:rFonts w:asciiTheme="minorHAnsi" w:hAnsiTheme="minorHAnsi" w:cstheme="minorHAnsi"/>
                <w:sz w:val="20"/>
                <w:szCs w:val="20"/>
              </w:rPr>
            </w:pPr>
            <w:r w:rsidRPr="007C692F">
              <w:rPr>
                <w:rFonts w:ascii="Cambria Math" w:hAnsi="Cambria Math" w:cs="Cambria Math"/>
                <w:sz w:val="20"/>
                <w:szCs w:val="20"/>
              </w:rPr>
              <w:t>↳</w:t>
            </w:r>
            <w:r w:rsidRPr="007C692F">
              <w:rPr>
                <w:rFonts w:asciiTheme="minorHAnsi" w:hAnsiTheme="minorHAnsi" w:cstheme="minorHAnsi"/>
                <w:sz w:val="20"/>
                <w:szCs w:val="20"/>
              </w:rPr>
              <w:t xml:space="preserve"> 03a- ADR uses outsourced service providers</w:t>
            </w:r>
          </w:p>
          <w:p w:rsidRPr="007C692F" w:rsidR="004154CE" w:rsidP="004154CE" w:rsidRDefault="004154CE" w14:paraId="260E53FA" w14:textId="77777777">
            <w:pPr>
              <w:pStyle w:val="NormalWeb"/>
              <w:numPr>
                <w:ilvl w:val="0"/>
                <w:numId w:val="34"/>
              </w:numPr>
              <w:spacing w:before="0" w:beforeAutospacing="0" w:after="0" w:afterAutospacing="0"/>
              <w:textAlignment w:val="baseline"/>
              <w:rPr>
                <w:rFonts w:asciiTheme="minorHAnsi" w:hAnsiTheme="minorHAnsi" w:cstheme="minorHAnsi"/>
                <w:sz w:val="20"/>
                <w:szCs w:val="20"/>
              </w:rPr>
            </w:pPr>
            <w:r w:rsidRPr="007C692F">
              <w:rPr>
                <w:rFonts w:ascii="Cambria Math" w:hAnsi="Cambria Math" w:cs="Cambria Math"/>
                <w:sz w:val="20"/>
                <w:szCs w:val="20"/>
              </w:rPr>
              <w:t>↳</w:t>
            </w:r>
            <w:r w:rsidRPr="007C692F">
              <w:rPr>
                <w:rFonts w:asciiTheme="minorHAnsi" w:hAnsiTheme="minorHAnsi" w:cstheme="minorHAnsi"/>
                <w:sz w:val="20"/>
                <w:szCs w:val="20"/>
              </w:rPr>
              <w:t xml:space="preserve"> 03b- Sponsorship arrangement</w:t>
            </w:r>
          </w:p>
          <w:p w:rsidRPr="007C692F" w:rsidR="004154CE" w:rsidP="004154CE" w:rsidRDefault="004154CE" w14:paraId="0EB866A7" w14:textId="77777777">
            <w:pPr>
              <w:pStyle w:val="NormalWeb"/>
              <w:numPr>
                <w:ilvl w:val="0"/>
                <w:numId w:val="34"/>
              </w:numPr>
              <w:spacing w:before="0" w:beforeAutospacing="0" w:after="0" w:afterAutospacing="0"/>
              <w:textAlignment w:val="baseline"/>
              <w:rPr>
                <w:rFonts w:asciiTheme="minorHAnsi" w:hAnsiTheme="minorHAnsi" w:cstheme="minorHAnsi"/>
                <w:sz w:val="20"/>
                <w:szCs w:val="20"/>
              </w:rPr>
            </w:pPr>
            <w:r w:rsidRPr="007C692F">
              <w:rPr>
                <w:rFonts w:ascii="Cambria Math" w:hAnsi="Cambria Math" w:cs="Cambria Math"/>
                <w:sz w:val="20"/>
                <w:szCs w:val="20"/>
              </w:rPr>
              <w:t>↳</w:t>
            </w:r>
            <w:r w:rsidRPr="007C692F">
              <w:rPr>
                <w:rFonts w:asciiTheme="minorHAnsi" w:hAnsiTheme="minorHAnsi" w:cstheme="minorHAnsi"/>
                <w:sz w:val="20"/>
                <w:szCs w:val="20"/>
              </w:rPr>
              <w:t xml:space="preserve"> 03c- CDR representative arrangement</w:t>
            </w:r>
          </w:p>
          <w:p w:rsidRPr="007C692F" w:rsidR="004154CE" w:rsidP="00483F75" w:rsidRDefault="004154CE" w14:paraId="5346DD6C" w14:textId="77777777">
            <w:pPr>
              <w:rPr>
                <w:rFonts w:asciiTheme="minorHAnsi" w:hAnsiTheme="minorHAnsi"/>
                <w:sz w:val="24"/>
                <w:szCs w:val="24"/>
              </w:rPr>
            </w:pPr>
          </w:p>
          <w:p w:rsidRPr="007C692F" w:rsidR="004154CE" w:rsidP="00483F75" w:rsidRDefault="004154CE" w14:paraId="60A96062" w14:textId="77777777">
            <w:pPr>
              <w:pStyle w:val="NormalWeb"/>
              <w:spacing w:before="0" w:beforeAutospacing="0" w:after="0" w:afterAutospacing="0"/>
              <w:rPr>
                <w:rFonts w:asciiTheme="minorHAnsi" w:hAnsiTheme="minorHAnsi" w:cstheme="minorHAnsi"/>
              </w:rPr>
            </w:pPr>
            <w:r w:rsidRPr="007C692F">
              <w:rPr>
                <w:rFonts w:asciiTheme="minorHAnsi" w:hAnsiTheme="minorHAnsi" w:cstheme="minorHAnsi"/>
                <w:sz w:val="20"/>
                <w:szCs w:val="20"/>
              </w:rPr>
              <w:t>The Figma prototype includes documentation layers that can provide more information and detailed design specifications for the build process.</w:t>
            </w:r>
          </w:p>
          <w:p w:rsidRPr="007C692F" w:rsidR="004154CE" w:rsidP="00483F75" w:rsidRDefault="004154CE" w14:paraId="5CE37BDF" w14:textId="77777777">
            <w:pPr>
              <w:pStyle w:val="NormalWeb"/>
              <w:spacing w:before="0" w:beforeAutospacing="0" w:after="0" w:afterAutospacing="0"/>
              <w:rPr>
                <w:rFonts w:asciiTheme="minorHAnsi" w:hAnsiTheme="minorHAnsi" w:cstheme="minorHAnsi"/>
              </w:rPr>
            </w:pPr>
            <w:r w:rsidRPr="007C692F">
              <w:rPr>
                <w:rFonts w:asciiTheme="minorHAnsi" w:hAnsiTheme="minorHAnsi" w:cstheme="minorHAnsi"/>
                <w:noProof/>
                <w:sz w:val="20"/>
                <w:szCs w:val="20"/>
                <w:bdr w:val="none" w:color="auto" w:sz="0" w:space="0" w:frame="1"/>
                <w:shd w:val="clear" w:color="auto" w:fill="E6E6E6"/>
              </w:rPr>
              <w:lastRenderedPageBreak/>
              <w:drawing>
                <wp:inline distT="0" distB="0" distL="0" distR="0" wp14:anchorId="2FE97AE3" wp14:editId="5784FAFD">
                  <wp:extent cx="2000250" cy="2200275"/>
                  <wp:effectExtent l="0" t="0" r="0" b="9525"/>
                  <wp:docPr id="14" name="Picture 14"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hot demonstrating issue describ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0" cy="2200275"/>
                          </a:xfrm>
                          <a:prstGeom prst="rect">
                            <a:avLst/>
                          </a:prstGeom>
                          <a:noFill/>
                          <a:ln>
                            <a:noFill/>
                          </a:ln>
                        </pic:spPr>
                      </pic:pic>
                    </a:graphicData>
                  </a:graphic>
                </wp:inline>
              </w:drawing>
            </w:r>
          </w:p>
          <w:p w:rsidRPr="007C692F" w:rsidR="004154CE" w:rsidP="00483F75" w:rsidRDefault="004154CE" w14:paraId="1E1405E9" w14:textId="77777777">
            <w:pPr>
              <w:rPr>
                <w:rFonts w:asciiTheme="minorHAnsi" w:hAnsiTheme="minorHAnsi"/>
              </w:rPr>
            </w:pPr>
          </w:p>
        </w:tc>
        <w:tc>
          <w:tcPr>
            <w:tcW w:w="0" w:type="auto"/>
            <w:hideMark/>
          </w:tcPr>
          <w:p w:rsidRPr="007C692F" w:rsidR="004154CE" w:rsidP="00483F75" w:rsidRDefault="004154CE" w14:paraId="013384B4" w14:textId="77777777">
            <w:pPr>
              <w:pStyle w:val="NormalWeb"/>
              <w:spacing w:before="0" w:beforeAutospacing="0" w:after="0" w:afterAutospacing="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r w:rsidRPr="007C692F">
              <w:rPr>
                <w:rFonts w:asciiTheme="minorHAnsi" w:hAnsiTheme="minorHAnsi" w:cstheme="minorHAnsi"/>
                <w:b/>
                <w:sz w:val="20"/>
                <w:szCs w:val="20"/>
                <w:shd w:val="clear" w:color="auto" w:fill="E6E6E6"/>
              </w:rPr>
              <w:lastRenderedPageBreak/>
              <w:fldChar w:fldCharType="begin"/>
            </w:r>
            <w:r w:rsidRPr="007C692F">
              <w:rPr>
                <w:rFonts w:asciiTheme="minorHAnsi" w:hAnsiTheme="minorHAnsi" w:cstheme="minorHAnsi"/>
                <w:b/>
                <w:bCs/>
                <w:sz w:val="20"/>
                <w:szCs w:val="20"/>
              </w:rPr>
              <w:instrText>HYPERLINK "https://www.notion.so/Authenticate-d269954669354c46874d1bf63407862f"</w:instrText>
            </w:r>
            <w:r w:rsidRPr="007C692F">
              <w:rPr>
                <w:rFonts w:asciiTheme="minorHAnsi" w:hAnsiTheme="minorHAnsi" w:cstheme="minorHAnsi"/>
                <w:b/>
                <w:sz w:val="20"/>
                <w:szCs w:val="20"/>
                <w:shd w:val="clear" w:color="auto" w:fill="E6E6E6"/>
              </w:rPr>
              <w:fldChar w:fldCharType="separate"/>
            </w:r>
            <w:r w:rsidRPr="007C692F">
              <w:rPr>
                <w:rStyle w:val="Hyperlink"/>
                <w:rFonts w:asciiTheme="minorHAnsi" w:hAnsiTheme="minorHAnsi" w:cstheme="minorHAnsi"/>
                <w:b/>
                <w:bCs/>
                <w:color w:val="auto"/>
                <w:sz w:val="20"/>
                <w:szCs w:val="20"/>
              </w:rPr>
              <w:t>Authenticate</w:t>
            </w:r>
            <w:r w:rsidRPr="007C692F">
              <w:rPr>
                <w:rStyle w:val="Hyperlink"/>
                <w:rFonts w:asciiTheme="minorHAnsi" w:hAnsiTheme="minorHAnsi" w:cstheme="minorHAnsi"/>
                <w:color w:val="auto"/>
                <w:sz w:val="20"/>
                <w:szCs w:val="20"/>
              </w:rPr>
              <w:t> </w:t>
            </w:r>
          </w:p>
          <w:p w:rsidRPr="007C692F" w:rsidR="004154CE" w:rsidP="00483F75" w:rsidRDefault="004154CE" w14:paraId="3076A4B0"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C692F">
              <w:rPr>
                <w:rFonts w:asciiTheme="minorHAnsi" w:hAnsiTheme="minorHAnsi" w:cstheme="minorHAnsi"/>
                <w:b/>
                <w:sz w:val="20"/>
                <w:szCs w:val="20"/>
                <w:shd w:val="clear" w:color="auto" w:fill="E6E6E6"/>
              </w:rPr>
              <w:fldChar w:fldCharType="end"/>
            </w:r>
            <w:r w:rsidRPr="007C692F">
              <w:rPr>
                <w:rFonts w:asciiTheme="minorHAnsi" w:hAnsiTheme="minorHAnsi" w:cstheme="minorHAnsi"/>
                <w:sz w:val="20"/>
                <w:szCs w:val="20"/>
              </w:rPr>
              <w:t>Detailed Design documentation</w:t>
            </w:r>
          </w:p>
          <w:p w:rsidRPr="007C692F" w:rsidR="004154CE" w:rsidP="00483F75" w:rsidRDefault="004154CE" w14:paraId="5298CFBA"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C692F">
              <w:rPr>
                <w:rFonts w:asciiTheme="minorHAnsi" w:hAnsiTheme="minorHAnsi" w:cstheme="minorHAnsi"/>
                <w:sz w:val="20"/>
                <w:szCs w:val="20"/>
              </w:rPr>
              <w:t>In-scope pages</w:t>
            </w:r>
          </w:p>
          <w:p w:rsidRPr="007C692F" w:rsidR="004154CE" w:rsidP="004154CE" w:rsidRDefault="004154CE" w14:paraId="4B65E51A" w14:textId="77777777">
            <w:pPr>
              <w:pStyle w:val="NormalWeb"/>
              <w:numPr>
                <w:ilvl w:val="0"/>
                <w:numId w:val="35"/>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C692F">
              <w:rPr>
                <w:rFonts w:asciiTheme="minorHAnsi" w:hAnsiTheme="minorHAnsi" w:cstheme="minorHAnsi"/>
                <w:sz w:val="20"/>
                <w:szCs w:val="20"/>
              </w:rPr>
              <w:t> 00/01/03 - Redirect with OTP </w:t>
            </w:r>
          </w:p>
          <w:p w:rsidRPr="007C692F" w:rsidR="004154CE" w:rsidP="00483F75" w:rsidRDefault="004154CE" w14:paraId="1F13066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rsidRPr="007C692F" w:rsidR="004154CE" w:rsidP="00483F75" w:rsidRDefault="004154CE" w14:paraId="37E8EC0B"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C692F">
              <w:rPr>
                <w:rFonts w:asciiTheme="minorHAnsi" w:hAnsiTheme="minorHAnsi" w:cstheme="minorHAnsi"/>
                <w:sz w:val="20"/>
                <w:szCs w:val="20"/>
              </w:rPr>
              <w:t>The Figma prototype includes documentation layers that can provide more information and detailed design specifications for the build process.</w:t>
            </w:r>
          </w:p>
          <w:p w:rsidRPr="007C692F" w:rsidR="004154CE" w:rsidP="00483F75" w:rsidRDefault="004154CE" w14:paraId="7DB420EF"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C692F">
              <w:rPr>
                <w:rFonts w:asciiTheme="minorHAnsi" w:hAnsiTheme="minorHAnsi" w:cstheme="minorHAnsi"/>
                <w:noProof/>
                <w:sz w:val="20"/>
                <w:szCs w:val="20"/>
                <w:bdr w:val="none" w:color="auto" w:sz="0" w:space="0" w:frame="1"/>
                <w:shd w:val="clear" w:color="auto" w:fill="E6E6E6"/>
              </w:rPr>
              <w:drawing>
                <wp:inline distT="0" distB="0" distL="0" distR="0" wp14:anchorId="725F1E8D" wp14:editId="563D9351">
                  <wp:extent cx="2000250" cy="2200275"/>
                  <wp:effectExtent l="0" t="0" r="0" b="9525"/>
                  <wp:docPr id="13" name="Picture 13"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demonstrating issue describ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0" cy="2200275"/>
                          </a:xfrm>
                          <a:prstGeom prst="rect">
                            <a:avLst/>
                          </a:prstGeom>
                          <a:noFill/>
                          <a:ln>
                            <a:noFill/>
                          </a:ln>
                        </pic:spPr>
                      </pic:pic>
                    </a:graphicData>
                  </a:graphic>
                </wp:inline>
              </w:drawing>
            </w:r>
          </w:p>
          <w:p w:rsidRPr="007C692F" w:rsidR="004154CE" w:rsidP="00483F75" w:rsidRDefault="004154CE" w14:paraId="026060D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0" w:type="auto"/>
            <w:hideMark/>
          </w:tcPr>
          <w:p w:rsidRPr="007C692F" w:rsidR="004154CE" w:rsidP="00483F75" w:rsidRDefault="004154CE" w14:paraId="46700739"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Style w:val="Hyperlink"/>
                <w:rFonts w:asciiTheme="minorHAnsi" w:hAnsiTheme="minorHAnsi" w:cstheme="minorHAnsi"/>
                <w:color w:val="auto"/>
              </w:rPr>
            </w:pPr>
            <w:r w:rsidRPr="007C692F">
              <w:rPr>
                <w:rFonts w:asciiTheme="minorHAnsi" w:hAnsiTheme="minorHAnsi" w:cstheme="minorHAnsi"/>
                <w:b/>
                <w:sz w:val="20"/>
                <w:szCs w:val="20"/>
                <w:shd w:val="clear" w:color="auto" w:fill="E6E6E6"/>
              </w:rPr>
              <w:fldChar w:fldCharType="begin"/>
            </w:r>
            <w:r w:rsidRPr="007C692F">
              <w:rPr>
                <w:rFonts w:asciiTheme="minorHAnsi" w:hAnsiTheme="minorHAnsi" w:cstheme="minorHAnsi"/>
                <w:b/>
                <w:bCs/>
                <w:sz w:val="20"/>
                <w:szCs w:val="20"/>
              </w:rPr>
              <w:instrText xml:space="preserve"> HYPERLINK "https://www.notion.so/Authorise-a51263ba331b4ca8b3defac444c2327f" </w:instrText>
            </w:r>
            <w:r w:rsidRPr="007C692F">
              <w:rPr>
                <w:rFonts w:asciiTheme="minorHAnsi" w:hAnsiTheme="minorHAnsi" w:cstheme="minorHAnsi"/>
                <w:b/>
                <w:sz w:val="20"/>
                <w:szCs w:val="20"/>
                <w:shd w:val="clear" w:color="auto" w:fill="E6E6E6"/>
              </w:rPr>
              <w:fldChar w:fldCharType="separate"/>
            </w:r>
            <w:r w:rsidRPr="007C692F">
              <w:rPr>
                <w:rStyle w:val="Hyperlink"/>
                <w:rFonts w:asciiTheme="minorHAnsi" w:hAnsiTheme="minorHAnsi" w:cstheme="minorHAnsi"/>
                <w:b/>
                <w:bCs/>
                <w:color w:val="auto"/>
                <w:sz w:val="20"/>
                <w:szCs w:val="20"/>
              </w:rPr>
              <w:t>Authorise</w:t>
            </w:r>
            <w:r w:rsidRPr="007C692F">
              <w:rPr>
                <w:rStyle w:val="Hyperlink"/>
                <w:rFonts w:asciiTheme="minorHAnsi" w:hAnsiTheme="minorHAnsi" w:cstheme="minorHAnsi"/>
                <w:color w:val="auto"/>
                <w:sz w:val="20"/>
                <w:szCs w:val="20"/>
              </w:rPr>
              <w:t> </w:t>
            </w:r>
          </w:p>
          <w:p w:rsidRPr="007C692F" w:rsidR="004154CE" w:rsidP="00483F75" w:rsidRDefault="004154CE" w14:paraId="52D1FDDC"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C692F">
              <w:rPr>
                <w:rFonts w:asciiTheme="minorHAnsi" w:hAnsiTheme="minorHAnsi" w:cstheme="minorHAnsi"/>
                <w:b/>
                <w:sz w:val="20"/>
                <w:szCs w:val="20"/>
                <w:shd w:val="clear" w:color="auto" w:fill="E6E6E6"/>
              </w:rPr>
              <w:fldChar w:fldCharType="end"/>
            </w:r>
            <w:r w:rsidRPr="007C692F">
              <w:rPr>
                <w:rFonts w:asciiTheme="minorHAnsi" w:hAnsiTheme="minorHAnsi" w:cstheme="minorHAnsi"/>
                <w:sz w:val="20"/>
                <w:szCs w:val="20"/>
              </w:rPr>
              <w:t>Detailed Design documentation</w:t>
            </w:r>
          </w:p>
          <w:p w:rsidRPr="007C692F" w:rsidR="004154CE" w:rsidP="00483F75" w:rsidRDefault="004154CE" w14:paraId="5D04BDD5"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C692F">
              <w:rPr>
                <w:rFonts w:asciiTheme="minorHAnsi" w:hAnsiTheme="minorHAnsi" w:cstheme="minorHAnsi"/>
                <w:sz w:val="20"/>
                <w:szCs w:val="20"/>
              </w:rPr>
              <w:t>In-scope pages</w:t>
            </w:r>
          </w:p>
          <w:p w:rsidRPr="007C692F" w:rsidR="004154CE" w:rsidP="004154CE" w:rsidRDefault="004154CE" w14:paraId="19F37736" w14:textId="77777777">
            <w:pPr>
              <w:pStyle w:val="NormalWeb"/>
              <w:numPr>
                <w:ilvl w:val="0"/>
                <w:numId w:val="36"/>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C692F">
              <w:rPr>
                <w:rFonts w:asciiTheme="minorHAnsi" w:hAnsiTheme="minorHAnsi" w:cstheme="minorHAnsi"/>
                <w:sz w:val="20"/>
                <w:szCs w:val="20"/>
              </w:rPr>
              <w:t> 00/01/02- Authorise- default example</w:t>
            </w:r>
          </w:p>
          <w:p w:rsidRPr="007C692F" w:rsidR="004154CE" w:rsidP="004154CE" w:rsidRDefault="004154CE" w14:paraId="2C311C7F" w14:textId="77777777">
            <w:pPr>
              <w:pStyle w:val="NormalWeb"/>
              <w:numPr>
                <w:ilvl w:val="0"/>
                <w:numId w:val="36"/>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C692F">
              <w:rPr>
                <w:rFonts w:asciiTheme="minorHAnsi" w:hAnsiTheme="minorHAnsi" w:cstheme="minorHAnsi"/>
                <w:sz w:val="20"/>
                <w:szCs w:val="20"/>
              </w:rPr>
              <w:t>08- Cancellation</w:t>
            </w:r>
          </w:p>
          <w:p w:rsidRPr="007C692F" w:rsidR="004154CE" w:rsidP="00483F75" w:rsidRDefault="004154CE" w14:paraId="731F11B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rsidRPr="007C692F" w:rsidR="004154CE" w:rsidP="00483F75" w:rsidRDefault="004154CE" w14:paraId="09F7BB08"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C692F">
              <w:rPr>
                <w:rFonts w:asciiTheme="minorHAnsi" w:hAnsiTheme="minorHAnsi" w:cstheme="minorHAnsi"/>
                <w:sz w:val="20"/>
                <w:szCs w:val="20"/>
              </w:rPr>
              <w:t>Out-of-scope pages</w:t>
            </w:r>
          </w:p>
          <w:p w:rsidRPr="007C692F" w:rsidR="004154CE" w:rsidP="004154CE" w:rsidRDefault="004154CE" w14:paraId="7FCEC6B1" w14:textId="77777777">
            <w:pPr>
              <w:pStyle w:val="NormalWeb"/>
              <w:numPr>
                <w:ilvl w:val="0"/>
                <w:numId w:val="37"/>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C692F">
              <w:rPr>
                <w:rFonts w:ascii="Cambria Math" w:hAnsi="Cambria Math" w:cs="Cambria Math"/>
                <w:sz w:val="20"/>
                <w:szCs w:val="20"/>
              </w:rPr>
              <w:t>↳</w:t>
            </w:r>
            <w:r w:rsidRPr="007C692F">
              <w:rPr>
                <w:rFonts w:asciiTheme="minorHAnsi" w:hAnsiTheme="minorHAnsi" w:cstheme="minorHAnsi"/>
                <w:sz w:val="20"/>
                <w:szCs w:val="20"/>
              </w:rPr>
              <w:t xml:space="preserve"> 03- Unavailable accounts - All accounts can be shown</w:t>
            </w:r>
          </w:p>
          <w:p w:rsidRPr="007C692F" w:rsidR="004154CE" w:rsidP="004154CE" w:rsidRDefault="004154CE" w14:paraId="3AA97B9F" w14:textId="77777777">
            <w:pPr>
              <w:pStyle w:val="NormalWeb"/>
              <w:numPr>
                <w:ilvl w:val="0"/>
                <w:numId w:val="37"/>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C692F">
              <w:rPr>
                <w:rFonts w:ascii="Cambria Math" w:hAnsi="Cambria Math" w:cs="Cambria Math"/>
                <w:sz w:val="20"/>
                <w:szCs w:val="20"/>
              </w:rPr>
              <w:t>↳</w:t>
            </w:r>
            <w:r w:rsidRPr="007C692F">
              <w:rPr>
                <w:rFonts w:asciiTheme="minorHAnsi" w:hAnsiTheme="minorHAnsi" w:cstheme="minorHAnsi"/>
                <w:sz w:val="20"/>
                <w:szCs w:val="20"/>
              </w:rPr>
              <w:t xml:space="preserve"> 03a- Unavailable accounts - Unavailable accounts cannot be shown</w:t>
            </w:r>
          </w:p>
          <w:p w:rsidRPr="007C692F" w:rsidR="004154CE" w:rsidP="004154CE" w:rsidRDefault="004154CE" w14:paraId="12F85E67" w14:textId="77777777">
            <w:pPr>
              <w:pStyle w:val="NormalWeb"/>
              <w:numPr>
                <w:ilvl w:val="0"/>
                <w:numId w:val="37"/>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C692F">
              <w:rPr>
                <w:rFonts w:ascii="Cambria Math" w:hAnsi="Cambria Math" w:cs="Cambria Math"/>
                <w:sz w:val="20"/>
                <w:szCs w:val="20"/>
              </w:rPr>
              <w:t>↳</w:t>
            </w:r>
            <w:r w:rsidRPr="007C692F">
              <w:rPr>
                <w:rFonts w:asciiTheme="minorHAnsi" w:hAnsiTheme="minorHAnsi" w:cstheme="minorHAnsi"/>
                <w:sz w:val="20"/>
                <w:szCs w:val="20"/>
              </w:rPr>
              <w:t xml:space="preserve"> 03b- Unavailable accounts - No accounts can be shown</w:t>
            </w:r>
          </w:p>
          <w:p w:rsidRPr="007C692F" w:rsidR="004154CE" w:rsidP="004154CE" w:rsidRDefault="004154CE" w14:paraId="5D4A4E83" w14:textId="77777777">
            <w:pPr>
              <w:pStyle w:val="NormalWeb"/>
              <w:numPr>
                <w:ilvl w:val="0"/>
                <w:numId w:val="37"/>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C692F">
              <w:rPr>
                <w:rFonts w:ascii="Cambria Math" w:hAnsi="Cambria Math" w:cs="Cambria Math"/>
                <w:sz w:val="20"/>
                <w:szCs w:val="20"/>
              </w:rPr>
              <w:t>↳</w:t>
            </w:r>
            <w:r w:rsidRPr="007C692F">
              <w:rPr>
                <w:rFonts w:asciiTheme="minorHAnsi" w:hAnsiTheme="minorHAnsi" w:cstheme="minorHAnsi"/>
                <w:sz w:val="20"/>
                <w:szCs w:val="20"/>
              </w:rPr>
              <w:t xml:space="preserve"> 04- Data related to one or no accounts</w:t>
            </w:r>
          </w:p>
          <w:p w:rsidRPr="007C692F" w:rsidR="004154CE" w:rsidP="004154CE" w:rsidRDefault="004154CE" w14:paraId="06B2E12B" w14:textId="77777777">
            <w:pPr>
              <w:pStyle w:val="NormalWeb"/>
              <w:numPr>
                <w:ilvl w:val="0"/>
                <w:numId w:val="37"/>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C692F">
              <w:rPr>
                <w:rFonts w:ascii="Cambria Math" w:hAnsi="Cambria Math" w:cs="Cambria Math"/>
                <w:sz w:val="20"/>
                <w:szCs w:val="20"/>
              </w:rPr>
              <w:t>↳</w:t>
            </w:r>
            <w:r w:rsidRPr="007C692F">
              <w:rPr>
                <w:rFonts w:asciiTheme="minorHAnsi" w:hAnsiTheme="minorHAnsi" w:cstheme="minorHAnsi"/>
                <w:sz w:val="20"/>
                <w:szCs w:val="20"/>
              </w:rPr>
              <w:t xml:space="preserve"> 05- Profile selection</w:t>
            </w:r>
          </w:p>
          <w:p w:rsidRPr="007C692F" w:rsidR="004154CE" w:rsidP="004154CE" w:rsidRDefault="004154CE" w14:paraId="1774DF7A" w14:textId="77777777">
            <w:pPr>
              <w:pStyle w:val="NormalWeb"/>
              <w:numPr>
                <w:ilvl w:val="0"/>
                <w:numId w:val="37"/>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C692F">
              <w:rPr>
                <w:rFonts w:ascii="Cambria Math" w:hAnsi="Cambria Math" w:cs="Cambria Math"/>
                <w:sz w:val="20"/>
                <w:szCs w:val="20"/>
              </w:rPr>
              <w:t>↳</w:t>
            </w:r>
            <w:r w:rsidRPr="007C692F">
              <w:rPr>
                <w:rFonts w:asciiTheme="minorHAnsi" w:hAnsiTheme="minorHAnsi" w:cstheme="minorHAnsi"/>
                <w:sz w:val="20"/>
                <w:szCs w:val="20"/>
              </w:rPr>
              <w:t xml:space="preserve"> 06- Duration</w:t>
            </w:r>
          </w:p>
          <w:p w:rsidRPr="007C692F" w:rsidR="004154CE" w:rsidP="004154CE" w:rsidRDefault="004154CE" w14:paraId="79AE0F47" w14:textId="77777777">
            <w:pPr>
              <w:pStyle w:val="NormalWeb"/>
              <w:numPr>
                <w:ilvl w:val="0"/>
                <w:numId w:val="37"/>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C692F">
              <w:rPr>
                <w:rFonts w:ascii="Cambria Math" w:hAnsi="Cambria Math" w:cs="Cambria Math"/>
                <w:sz w:val="20"/>
                <w:szCs w:val="20"/>
              </w:rPr>
              <w:t>↳</w:t>
            </w:r>
            <w:r w:rsidRPr="007C692F">
              <w:rPr>
                <w:rFonts w:asciiTheme="minorHAnsi" w:hAnsiTheme="minorHAnsi" w:cstheme="minorHAnsi"/>
                <w:sz w:val="20"/>
                <w:szCs w:val="20"/>
              </w:rPr>
              <w:t xml:space="preserve"> 07- Layout variation</w:t>
            </w:r>
          </w:p>
          <w:p w:rsidRPr="007C692F" w:rsidR="004154CE" w:rsidP="00483F75" w:rsidRDefault="004154CE" w14:paraId="258D0D5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rsidRPr="007C692F" w:rsidR="004154CE" w:rsidP="00483F75" w:rsidRDefault="004154CE" w14:paraId="2F453725"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C692F">
              <w:rPr>
                <w:rFonts w:asciiTheme="minorHAnsi" w:hAnsiTheme="minorHAnsi" w:cstheme="minorHAnsi"/>
                <w:sz w:val="20"/>
                <w:szCs w:val="20"/>
              </w:rPr>
              <w:t>The Figma prototype includes documentation layers that can provide more information and detailed design specifications for the build process.</w:t>
            </w:r>
          </w:p>
          <w:p w:rsidRPr="007C692F" w:rsidR="004154CE" w:rsidP="00483F75" w:rsidRDefault="004154CE" w14:paraId="0D6141F0"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C692F">
              <w:rPr>
                <w:rFonts w:asciiTheme="minorHAnsi" w:hAnsiTheme="minorHAnsi" w:cstheme="minorHAnsi"/>
                <w:noProof/>
                <w:sz w:val="20"/>
                <w:szCs w:val="20"/>
                <w:bdr w:val="none" w:color="auto" w:sz="0" w:space="0" w:frame="1"/>
                <w:shd w:val="clear" w:color="auto" w:fill="E6E6E6"/>
              </w:rPr>
              <w:lastRenderedPageBreak/>
              <w:drawing>
                <wp:inline distT="0" distB="0" distL="0" distR="0" wp14:anchorId="6BD6B974" wp14:editId="040D77CD">
                  <wp:extent cx="2000250" cy="2200275"/>
                  <wp:effectExtent l="0" t="0" r="0" b="9525"/>
                  <wp:docPr id="10" name="Picture 10" descr="Screen shot demonstrating issu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 shot demonstrating issue describ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0" cy="2200275"/>
                          </a:xfrm>
                          <a:prstGeom prst="rect">
                            <a:avLst/>
                          </a:prstGeom>
                          <a:noFill/>
                          <a:ln>
                            <a:noFill/>
                          </a:ln>
                        </pic:spPr>
                      </pic:pic>
                    </a:graphicData>
                  </a:graphic>
                </wp:inline>
              </w:drawing>
            </w:r>
          </w:p>
          <w:p w:rsidRPr="007C692F" w:rsidR="004154CE" w:rsidP="00483F75" w:rsidRDefault="004154CE" w14:paraId="672B503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rsidRPr="008D5BCB" w:rsidR="008D5BCB" w:rsidP="008D5BCB" w:rsidRDefault="008D5BCB" w14:paraId="184A9C40" w14:textId="77777777">
      <w:pPr>
        <w:rPr>
          <w:lang w:val="en-AU"/>
        </w:rPr>
      </w:pPr>
    </w:p>
    <w:p w:rsidR="00A84924" w:rsidP="00A84924" w:rsidRDefault="00A84924" w14:paraId="39BDD31A" w14:textId="77777777">
      <w:pPr>
        <w:pStyle w:val="Heading3"/>
      </w:pPr>
      <w:r>
        <w:t>Background in developing the Figma prototype</w:t>
      </w:r>
    </w:p>
    <w:p w:rsidR="00A84924" w:rsidP="00A84924" w:rsidRDefault="00A84924" w14:paraId="425852E1" w14:textId="77777777">
      <w:r w:rsidRPr="2FB474A0">
        <w:t xml:space="preserve">The components of the Figma prototype have been built from adapting the </w:t>
      </w:r>
      <w:hyperlink w:history="1" r:id="rId66">
        <w:hyperlink w:history="1" r:id="rId67">
          <w:r w:rsidRPr="6307778B">
            <w:t>GOLD Design System</w:t>
          </w:r>
        </w:hyperlink>
      </w:hyperlink>
      <w:r w:rsidRPr="6307778B">
        <w:rPr>
          <w:color w:val="1155CC"/>
        </w:rPr>
        <w:t xml:space="preserve"> </w:t>
      </w:r>
      <w:proofErr w:type="spellStart"/>
      <w:r w:rsidRPr="2FB474A0">
        <w:t>to</w:t>
      </w:r>
      <w:proofErr w:type="spellEnd"/>
      <w:r w:rsidRPr="2FB474A0">
        <w:t xml:space="preserve"> </w:t>
      </w:r>
      <w:r w:rsidRPr="4FE0BC34">
        <w:t xml:space="preserve">DSB Design </w:t>
      </w:r>
      <w:r w:rsidRPr="15840EC1">
        <w:t>Library</w:t>
      </w:r>
      <w:r w:rsidRPr="6307778B">
        <w:t>.</w:t>
      </w:r>
      <w:r w:rsidRPr="2FB474A0">
        <w:t xml:space="preserve"> Because the Australian Design System’s components have been built, </w:t>
      </w:r>
      <w:proofErr w:type="gramStart"/>
      <w:r w:rsidRPr="2FB474A0">
        <w:t>tested</w:t>
      </w:r>
      <w:proofErr w:type="gramEnd"/>
      <w:r w:rsidRPr="2FB474A0">
        <w:t xml:space="preserve"> and accredited as being Accessibility compliant, it is assumed that the CDR team developed their prototypes with Accessibility in mind. CDR have applied their own Accessibility and CX lens in developing the prototype.</w:t>
      </w:r>
    </w:p>
    <w:p w:rsidR="00A84924" w:rsidP="00A84924" w:rsidRDefault="00A84924" w14:paraId="517051B0" w14:textId="77777777">
      <w:pPr>
        <w:pStyle w:val="Heading3"/>
      </w:pPr>
      <w:r>
        <w:t>Build assumptions</w:t>
      </w:r>
    </w:p>
    <w:p w:rsidR="00A84924" w:rsidP="00A84924" w:rsidRDefault="00A84924" w14:paraId="5CFA9F82" w14:textId="77777777">
      <w:r>
        <w:t>Due to the limited timeframe and constraints for the project PIC and Treasury documented the following prototyping assumptions:</w:t>
      </w:r>
    </w:p>
    <w:p w:rsidR="00A84924" w:rsidP="00A84924" w:rsidRDefault="00A84924" w14:paraId="15C61E83" w14:textId="77777777">
      <w:pPr>
        <w:pStyle w:val="Bulletpointdot"/>
        <w:rPr>
          <w:color w:val="000000"/>
        </w:rPr>
      </w:pPr>
      <w:r w:rsidRPr="7788E01B">
        <w:t xml:space="preserve">Developed web application built on React is for a mobile experience </w:t>
      </w:r>
    </w:p>
    <w:p w:rsidR="00A84924" w:rsidP="00A84924" w:rsidRDefault="00A84924" w14:paraId="6C8D4AB9" w14:textId="77777777">
      <w:pPr>
        <w:pStyle w:val="Bulletpointdot"/>
        <w:rPr>
          <w:color w:val="000000"/>
        </w:rPr>
      </w:pPr>
      <w:r>
        <w:t>Aligned to</w:t>
      </w:r>
      <w:r w:rsidRPr="351BDD23">
        <w:t xml:space="preserve"> the Figma flows and screens</w:t>
      </w:r>
      <w:r>
        <w:t xml:space="preserve"> developed by the DSB team</w:t>
      </w:r>
      <w:r w:rsidRPr="351BDD23">
        <w:t>.</w:t>
      </w:r>
    </w:p>
    <w:p w:rsidR="00A84924" w:rsidP="00A84924" w:rsidRDefault="00A84924" w14:paraId="037891D3" w14:textId="77777777">
      <w:pPr>
        <w:pStyle w:val="Bulletpointdot"/>
        <w:rPr>
          <w:color w:val="000000"/>
        </w:rPr>
      </w:pPr>
      <w:r>
        <w:t xml:space="preserve">Aligned with </w:t>
      </w:r>
      <w:r w:rsidRPr="42CE26FB">
        <w:t>the same styling, fonts and imagery as specified in the Figma prototype</w:t>
      </w:r>
      <w:r>
        <w:t>.</w:t>
      </w:r>
    </w:p>
    <w:p w:rsidR="00A84924" w:rsidP="00A84924" w:rsidRDefault="00A84924" w14:paraId="437EED72" w14:textId="77777777">
      <w:pPr>
        <w:pStyle w:val="Bulletpointdot"/>
        <w:rPr>
          <w:color w:val="000000"/>
        </w:rPr>
      </w:pPr>
      <w:r>
        <w:t xml:space="preserve">Excluded </w:t>
      </w:r>
      <w:r w:rsidRPr="7788E01B">
        <w:t xml:space="preserve">any interaction elements that are not specified in the original Figma flows - e.g., popovers, </w:t>
      </w:r>
      <w:proofErr w:type="gramStart"/>
      <w:r w:rsidRPr="7788E01B">
        <w:t>warning</w:t>
      </w:r>
      <w:proofErr w:type="gramEnd"/>
      <w:r w:rsidRPr="7788E01B">
        <w:t xml:space="preserve"> and info validations.</w:t>
      </w:r>
    </w:p>
    <w:p w:rsidR="00A84924" w:rsidP="00A84924" w:rsidRDefault="00A84924" w14:paraId="7768052E" w14:textId="77777777">
      <w:pPr>
        <w:pStyle w:val="Bulletpointdot"/>
        <w:rPr>
          <w:color w:val="000000"/>
        </w:rPr>
      </w:pPr>
      <w:r>
        <w:t>Excluded connections</w:t>
      </w:r>
      <w:r w:rsidRPr="79235F4E">
        <w:t xml:space="preserve"> to any API’s and external links.</w:t>
      </w:r>
    </w:p>
    <w:p w:rsidR="00A84924" w:rsidP="00A84924" w:rsidRDefault="00A84924" w14:paraId="6C9B9C96" w14:textId="77777777">
      <w:pPr>
        <w:pStyle w:val="Bulletpointdot"/>
        <w:rPr>
          <w:color w:val="000000"/>
        </w:rPr>
      </w:pPr>
      <w:r w:rsidRPr="7788E01B">
        <w:t>Initially built and deployed on PwC’s cloud Azure infrastructure for the build and testing process for rapid development and deployment.</w:t>
      </w:r>
    </w:p>
    <w:p w:rsidR="00A84924" w:rsidP="00A84924" w:rsidRDefault="00A84924" w14:paraId="28D30F78" w14:textId="77777777">
      <w:pPr>
        <w:pStyle w:val="NormalWeb"/>
        <w:spacing w:before="0" w:beforeAutospacing="0" w:after="0" w:afterAutospacing="0"/>
        <w:rPr>
          <w:rFonts w:ascii="Georgia" w:hAnsi="Georgia"/>
          <w:color w:val="000000"/>
          <w:sz w:val="20"/>
          <w:szCs w:val="20"/>
        </w:rPr>
      </w:pPr>
    </w:p>
    <w:p w:rsidRPr="006D229A" w:rsidR="00A84924" w:rsidP="00A84924" w:rsidRDefault="00A84924" w14:paraId="44053480" w14:textId="77777777">
      <w:r>
        <w:t xml:space="preserve">To make testing purposes more tangible for users, a scenario context was developed to inform the text and copy in the prototype. Because Treasury identified the application of a generic Banking product comparison application, the development team applied CDR’s Banking Data language standard to the prototype and its </w:t>
      </w:r>
      <w:r w:rsidRPr="006D229A">
        <w:t xml:space="preserve">relevant screens. </w:t>
      </w:r>
    </w:p>
    <w:p w:rsidRPr="006D229A" w:rsidR="00A84924" w:rsidP="00A84924" w:rsidRDefault="00A84924" w14:paraId="16BBFE66" w14:textId="77777777">
      <w:pPr>
        <w:pStyle w:val="NormalWeb"/>
        <w:spacing w:before="0" w:beforeAutospacing="0" w:after="0" w:afterAutospacing="0"/>
        <w:rPr>
          <w:rFonts w:ascii="Georgia" w:hAnsi="Georgia"/>
          <w:sz w:val="20"/>
          <w:szCs w:val="20"/>
        </w:rPr>
      </w:pPr>
    </w:p>
    <w:p w:rsidRPr="006D229A" w:rsidR="00A84924" w:rsidP="00A84924" w:rsidRDefault="009B4FF6" w14:paraId="451B581C" w14:textId="77777777">
      <w:hyperlink r:id="rId68">
        <w:r w:rsidRPr="006D229A" w:rsidR="00A84924">
          <w:rPr>
            <w:rStyle w:val="Hyperlink"/>
            <w:color w:val="auto"/>
          </w:rPr>
          <w:t>Storybook</w:t>
        </w:r>
      </w:hyperlink>
      <w:r w:rsidRPr="006D229A" w:rsidR="00A84924">
        <w:t xml:space="preserve"> was used to build User Interface components to develop and update a library of CDR components. Each User Interface component was built and tested to align with CX standards, accessibility criteria of the CDR Figma flows and screens. The use of Storybook enabled the development team to streamline page development, accessibility testing, and documentation. Collaborating in a cross-functional teams, the development team implemented new features and resolved issues from the testing and accessibility review process. Azure DevOps was used to manage, build, test and deploy our code to the dev-site for testing online through the Azure Web Apps.</w:t>
      </w:r>
    </w:p>
    <w:p w:rsidRPr="006D229A" w:rsidR="00A84924" w:rsidP="00A84924" w:rsidRDefault="00A84924" w14:paraId="451007D5" w14:textId="77777777">
      <w:pPr>
        <w:pStyle w:val="NormalWeb"/>
        <w:spacing w:before="0" w:beforeAutospacing="0" w:after="0" w:afterAutospacing="0"/>
        <w:rPr>
          <w:rFonts w:ascii="Georgia" w:hAnsi="Georgia"/>
          <w:b/>
          <w:bCs/>
          <w:sz w:val="20"/>
          <w:szCs w:val="20"/>
        </w:rPr>
      </w:pPr>
    </w:p>
    <w:p w:rsidRPr="006D229A" w:rsidR="00A84924" w:rsidP="00A84924" w:rsidRDefault="00A84924" w14:paraId="1309522B" w14:textId="77777777">
      <w:pPr>
        <w:pStyle w:val="Heading3"/>
      </w:pPr>
      <w:r w:rsidRPr="006D229A">
        <w:t>Tools and technologies:</w:t>
      </w:r>
    </w:p>
    <w:p w:rsidRPr="006D229A" w:rsidR="00A84924" w:rsidP="00A84924" w:rsidRDefault="00A84924" w14:paraId="67A202A7" w14:textId="77777777">
      <w:pPr>
        <w:pStyle w:val="Bulletpointdot"/>
      </w:pPr>
      <w:r w:rsidRPr="006D229A">
        <w:t>Node.js</w:t>
      </w:r>
    </w:p>
    <w:p w:rsidRPr="006D229A" w:rsidR="00A84924" w:rsidP="00A84924" w:rsidRDefault="00A84924" w14:paraId="4D4CA200" w14:textId="77777777">
      <w:pPr>
        <w:pStyle w:val="Bulletpointdot"/>
        <w:rPr>
          <w:rFonts w:ascii="Georgia" w:hAnsi="Georgia"/>
        </w:rPr>
      </w:pPr>
      <w:r w:rsidRPr="006D229A">
        <w:rPr>
          <w:rFonts w:ascii="Georgia" w:hAnsi="Georgia"/>
        </w:rPr>
        <w:t>ReactJS</w:t>
      </w:r>
    </w:p>
    <w:p w:rsidRPr="006D229A" w:rsidR="00A84924" w:rsidP="00A84924" w:rsidRDefault="00A84924" w14:paraId="0FEFB1F8" w14:textId="77777777">
      <w:pPr>
        <w:pStyle w:val="Bulletpointdot"/>
        <w:rPr>
          <w:rFonts w:ascii="Georgia" w:hAnsi="Georgia"/>
        </w:rPr>
      </w:pPr>
      <w:r w:rsidRPr="006D229A">
        <w:rPr>
          <w:rFonts w:ascii="Georgia" w:hAnsi="Georgia"/>
        </w:rPr>
        <w:lastRenderedPageBreak/>
        <w:t>Storybook</w:t>
      </w:r>
    </w:p>
    <w:p w:rsidRPr="006D229A" w:rsidR="00A84924" w:rsidP="00A84924" w:rsidRDefault="00A84924" w14:paraId="798B3402" w14:textId="77777777">
      <w:pPr>
        <w:pStyle w:val="Bulletpointdot"/>
        <w:rPr>
          <w:rFonts w:ascii="Georgia" w:hAnsi="Georgia"/>
        </w:rPr>
      </w:pPr>
      <w:r w:rsidRPr="006D229A">
        <w:rPr>
          <w:rFonts w:ascii="Georgia" w:hAnsi="Georgia"/>
        </w:rPr>
        <w:t>Jest</w:t>
      </w:r>
    </w:p>
    <w:p w:rsidRPr="006D229A" w:rsidR="00A84924" w:rsidP="00A84924" w:rsidRDefault="00A84924" w14:paraId="6C57246A" w14:textId="77777777">
      <w:pPr>
        <w:pStyle w:val="Bulletpointdot"/>
        <w:rPr>
          <w:rFonts w:ascii="Georgia" w:hAnsi="Georgia"/>
        </w:rPr>
      </w:pPr>
      <w:r w:rsidRPr="006D229A">
        <w:rPr>
          <w:rFonts w:ascii="Georgia" w:hAnsi="Georgia"/>
        </w:rPr>
        <w:t>Azure DevOps</w:t>
      </w:r>
    </w:p>
    <w:p w:rsidRPr="006D229A" w:rsidR="00A84924" w:rsidP="00A84924" w:rsidRDefault="00A84924" w14:paraId="661CE1BA" w14:textId="77777777">
      <w:pPr>
        <w:pStyle w:val="Bulletpointdot"/>
      </w:pPr>
      <w:r w:rsidRPr="006D229A">
        <w:rPr>
          <w:rFonts w:ascii="Georgia" w:hAnsi="Georgia"/>
        </w:rPr>
        <w:t>Azure Web Apps.</w:t>
      </w:r>
    </w:p>
    <w:p w:rsidRPr="006D229A" w:rsidR="00A84924" w:rsidP="00A84924" w:rsidRDefault="00A84924" w14:paraId="7D0C9A12" w14:textId="77777777">
      <w:pPr>
        <w:pStyle w:val="NormalWeb"/>
        <w:spacing w:before="0" w:beforeAutospacing="0" w:after="0" w:afterAutospacing="0"/>
        <w:ind w:left="720"/>
      </w:pPr>
    </w:p>
    <w:p w:rsidRPr="006D229A" w:rsidR="00A84924" w:rsidP="00A84924" w:rsidRDefault="00A84924" w14:paraId="677FAE41" w14:textId="77777777">
      <w:pPr>
        <w:pStyle w:val="Heading3"/>
      </w:pPr>
      <w:r w:rsidRPr="006D229A">
        <w:t>Deliverables</w:t>
      </w:r>
    </w:p>
    <w:p w:rsidRPr="006D229A" w:rsidR="00A84924" w:rsidP="00A84924" w:rsidRDefault="00A84924" w14:paraId="284CEE6C" w14:textId="77777777">
      <w:pPr>
        <w:pStyle w:val="NormalWeb"/>
        <w:numPr>
          <w:ilvl w:val="1"/>
          <w:numId w:val="40"/>
        </w:numPr>
        <w:spacing w:before="0" w:beforeAutospacing="0" w:after="0" w:afterAutospacing="0"/>
        <w:rPr>
          <w:rFonts w:asciiTheme="minorHAnsi" w:hAnsiTheme="minorHAnsi" w:cstheme="minorHAnsi"/>
          <w:sz w:val="20"/>
          <w:szCs w:val="20"/>
        </w:rPr>
      </w:pPr>
      <w:r w:rsidRPr="006D229A">
        <w:rPr>
          <w:rFonts w:asciiTheme="minorHAnsi" w:hAnsiTheme="minorHAnsi" w:cstheme="minorHAnsi"/>
          <w:sz w:val="20"/>
          <w:szCs w:val="20"/>
        </w:rPr>
        <w:t xml:space="preserve">Prerequisites: Download and install </w:t>
      </w:r>
      <w:hyperlink r:id="rId69">
        <w:r w:rsidRPr="006D229A">
          <w:rPr>
            <w:rStyle w:val="Hyperlink"/>
            <w:rFonts w:asciiTheme="minorHAnsi" w:hAnsiTheme="minorHAnsi" w:cstheme="minorHAnsi"/>
            <w:color w:val="auto"/>
            <w:sz w:val="20"/>
            <w:szCs w:val="20"/>
          </w:rPr>
          <w:t>Node.js</w:t>
        </w:r>
      </w:hyperlink>
    </w:p>
    <w:p w:rsidRPr="006D229A" w:rsidR="00A84924" w:rsidP="00A84924" w:rsidRDefault="00A84924" w14:paraId="2A6373E9" w14:textId="77777777">
      <w:pPr>
        <w:pStyle w:val="NormalWeb"/>
        <w:numPr>
          <w:ilvl w:val="1"/>
          <w:numId w:val="40"/>
        </w:numPr>
        <w:spacing w:before="0" w:beforeAutospacing="0" w:after="0" w:afterAutospacing="0"/>
        <w:rPr>
          <w:rFonts w:asciiTheme="minorHAnsi" w:hAnsiTheme="minorHAnsi" w:cstheme="minorHAnsi"/>
          <w:sz w:val="20"/>
          <w:szCs w:val="20"/>
        </w:rPr>
      </w:pPr>
      <w:r w:rsidRPr="006D229A">
        <w:rPr>
          <w:rFonts w:asciiTheme="minorHAnsi" w:hAnsiTheme="minorHAnsi" w:cstheme="minorHAnsi"/>
          <w:sz w:val="20"/>
          <w:szCs w:val="20"/>
        </w:rPr>
        <w:t xml:space="preserve">Download and unzip the </w:t>
      </w:r>
      <w:hyperlink w:history="1" r:id="rId70">
        <w:r w:rsidRPr="006D229A">
          <w:rPr>
            <w:rStyle w:val="Hyperlink"/>
            <w:rFonts w:asciiTheme="minorHAnsi" w:hAnsiTheme="minorHAnsi" w:cstheme="minorHAnsi"/>
            <w:color w:val="auto"/>
            <w:sz w:val="20"/>
            <w:szCs w:val="20"/>
          </w:rPr>
          <w:t>prototype code</w:t>
        </w:r>
      </w:hyperlink>
      <w:r w:rsidRPr="006D229A">
        <w:rPr>
          <w:rFonts w:asciiTheme="minorHAnsi" w:hAnsiTheme="minorHAnsi" w:cstheme="minorHAnsi"/>
          <w:sz w:val="20"/>
          <w:szCs w:val="20"/>
        </w:rPr>
        <w:t xml:space="preserve"> </w:t>
      </w:r>
      <w:r w:rsidRPr="006D229A">
        <w:rPr>
          <w:rStyle w:val="Normal0Char"/>
          <w:rFonts w:asciiTheme="minorHAnsi" w:hAnsiTheme="minorHAnsi" w:cstheme="minorHAnsi"/>
          <w:szCs w:val="20"/>
        </w:rPr>
        <w:t xml:space="preserve">from Notion </w:t>
      </w:r>
    </w:p>
    <w:p w:rsidRPr="006D229A" w:rsidR="00A84924" w:rsidP="00A84924" w:rsidRDefault="00A84924" w14:paraId="446280D8" w14:textId="77777777">
      <w:pPr>
        <w:pStyle w:val="NormalWeb"/>
        <w:numPr>
          <w:ilvl w:val="1"/>
          <w:numId w:val="40"/>
        </w:numPr>
        <w:spacing w:before="0" w:beforeAutospacing="0" w:after="0" w:afterAutospacing="0"/>
        <w:rPr>
          <w:rFonts w:asciiTheme="minorHAnsi" w:hAnsiTheme="minorHAnsi" w:cstheme="minorHAnsi"/>
          <w:sz w:val="20"/>
          <w:szCs w:val="20"/>
        </w:rPr>
      </w:pPr>
      <w:r w:rsidRPr="006D229A">
        <w:rPr>
          <w:rFonts w:asciiTheme="minorHAnsi" w:hAnsiTheme="minorHAnsi" w:cstheme="minorHAnsi"/>
          <w:sz w:val="20"/>
          <w:szCs w:val="20"/>
        </w:rPr>
        <w:t>In the project directory</w:t>
      </w:r>
    </w:p>
    <w:p w:rsidRPr="006D229A" w:rsidR="00A84924" w:rsidP="00A84924" w:rsidRDefault="00A84924" w14:paraId="11F5B816" w14:textId="77777777">
      <w:pPr>
        <w:pStyle w:val="NormalWeb"/>
        <w:numPr>
          <w:ilvl w:val="2"/>
          <w:numId w:val="40"/>
        </w:numPr>
        <w:spacing w:before="0" w:beforeAutospacing="0" w:after="0" w:afterAutospacing="0"/>
        <w:rPr>
          <w:rFonts w:asciiTheme="minorHAnsi" w:hAnsiTheme="minorHAnsi" w:cstheme="minorHAnsi"/>
          <w:sz w:val="20"/>
          <w:szCs w:val="20"/>
        </w:rPr>
      </w:pPr>
      <w:r w:rsidRPr="006D229A">
        <w:rPr>
          <w:rFonts w:asciiTheme="minorHAnsi" w:hAnsiTheme="minorHAnsi" w:cstheme="minorHAnsi"/>
          <w:sz w:val="20"/>
          <w:szCs w:val="20"/>
        </w:rPr>
        <w:t>Run `</w:t>
      </w:r>
      <w:proofErr w:type="spellStart"/>
      <w:r w:rsidRPr="006D229A">
        <w:rPr>
          <w:rFonts w:asciiTheme="minorHAnsi" w:hAnsiTheme="minorHAnsi" w:cstheme="minorHAnsi"/>
          <w:sz w:val="20"/>
          <w:szCs w:val="20"/>
        </w:rPr>
        <w:t>npm</w:t>
      </w:r>
      <w:proofErr w:type="spellEnd"/>
      <w:r w:rsidRPr="006D229A">
        <w:rPr>
          <w:rFonts w:asciiTheme="minorHAnsi" w:hAnsiTheme="minorHAnsi" w:cstheme="minorHAnsi"/>
          <w:sz w:val="20"/>
          <w:szCs w:val="20"/>
        </w:rPr>
        <w:t xml:space="preserve"> install` command to install all dependencies.</w:t>
      </w:r>
    </w:p>
    <w:p w:rsidRPr="006D229A" w:rsidR="00A84924" w:rsidP="00A84924" w:rsidRDefault="00A84924" w14:paraId="1AA3E0C3" w14:textId="77777777">
      <w:pPr>
        <w:pStyle w:val="NormalWeb"/>
        <w:numPr>
          <w:ilvl w:val="2"/>
          <w:numId w:val="40"/>
        </w:numPr>
        <w:spacing w:before="0" w:beforeAutospacing="0" w:after="0" w:afterAutospacing="0"/>
        <w:rPr>
          <w:rFonts w:asciiTheme="minorHAnsi" w:hAnsiTheme="minorHAnsi" w:cstheme="minorHAnsi"/>
          <w:sz w:val="20"/>
          <w:szCs w:val="20"/>
        </w:rPr>
      </w:pPr>
      <w:r w:rsidRPr="006D229A">
        <w:rPr>
          <w:rFonts w:asciiTheme="minorHAnsi" w:hAnsiTheme="minorHAnsi" w:cstheme="minorHAnsi"/>
          <w:sz w:val="20"/>
          <w:szCs w:val="20"/>
        </w:rPr>
        <w:t>Run `</w:t>
      </w:r>
      <w:proofErr w:type="spellStart"/>
      <w:r w:rsidRPr="006D229A">
        <w:rPr>
          <w:rFonts w:asciiTheme="minorHAnsi" w:hAnsiTheme="minorHAnsi" w:cstheme="minorHAnsi"/>
          <w:sz w:val="20"/>
          <w:szCs w:val="20"/>
        </w:rPr>
        <w:t>npm</w:t>
      </w:r>
      <w:proofErr w:type="spellEnd"/>
      <w:r w:rsidRPr="006D229A">
        <w:rPr>
          <w:rFonts w:asciiTheme="minorHAnsi" w:hAnsiTheme="minorHAnsi" w:cstheme="minorHAnsi"/>
          <w:sz w:val="20"/>
          <w:szCs w:val="20"/>
        </w:rPr>
        <w:t xml:space="preserve"> start` command to run the app in the development mode. Open http://localhost:3000 to view it in your browser. The page will reload when you make changes. You may also see any lint errors in the console.</w:t>
      </w:r>
    </w:p>
    <w:p w:rsidRPr="006D229A" w:rsidR="00A84924" w:rsidP="00A84924" w:rsidRDefault="00A84924" w14:paraId="1BF2583B" w14:textId="77777777">
      <w:pPr>
        <w:pStyle w:val="NormalWeb"/>
        <w:spacing w:before="0" w:beforeAutospacing="0" w:after="0" w:afterAutospacing="0"/>
        <w:rPr>
          <w:rFonts w:asciiTheme="minorHAnsi" w:hAnsiTheme="minorHAnsi" w:cstheme="minorHAnsi"/>
          <w:sz w:val="20"/>
          <w:szCs w:val="20"/>
        </w:rPr>
      </w:pPr>
    </w:p>
    <w:p w:rsidRPr="006D229A" w:rsidR="00A84924" w:rsidP="00A84924" w:rsidRDefault="00A84924" w14:paraId="3B2F9C89" w14:textId="77777777">
      <w:r w:rsidRPr="006D229A">
        <w:t>To view the storybook, run `</w:t>
      </w:r>
      <w:proofErr w:type="spellStart"/>
      <w:r w:rsidRPr="006D229A">
        <w:t>npm</w:t>
      </w:r>
      <w:proofErr w:type="spellEnd"/>
      <w:r w:rsidRPr="006D229A">
        <w:t xml:space="preserve"> run storybook’ command to view all UI components we used in this project outside the application in an isolated environment. Open http://localhost:6006 to view all stories in your browser.</w:t>
      </w:r>
    </w:p>
    <w:p w:rsidRPr="006D229A" w:rsidR="00A84924" w:rsidP="00A84924" w:rsidRDefault="00A84924" w14:paraId="2C950A17" w14:textId="77777777">
      <w:r w:rsidRPr="006D229A">
        <w:t>To test all components, run `</w:t>
      </w:r>
      <w:proofErr w:type="spellStart"/>
      <w:r w:rsidRPr="006D229A">
        <w:t>npm</w:t>
      </w:r>
      <w:proofErr w:type="spellEnd"/>
      <w:r w:rsidRPr="006D229A">
        <w:t xml:space="preserve"> test’ command to launch the test runner in the interactive watch mode.</w:t>
      </w:r>
    </w:p>
    <w:p w:rsidRPr="006D229A" w:rsidR="008D5BCB" w:rsidP="00A84924" w:rsidRDefault="008D5BCB" w14:paraId="60DFF4EE" w14:textId="77777777"/>
    <w:sectPr w:rsidRPr="006D229A" w:rsidR="008D5BCB" w:rsidSect="00483F75">
      <w:footerReference w:type="default" r:id="rId71"/>
      <w:pgSz w:w="11907" w:h="16840" w:code="9"/>
      <w:pgMar w:top="1418" w:right="1021" w:bottom="1418" w:left="102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9639D" w:rsidP="001B775B" w:rsidRDefault="00C9639D" w14:paraId="7BA070C2" w14:textId="77777777">
      <w:r>
        <w:separator/>
      </w:r>
    </w:p>
  </w:endnote>
  <w:endnote w:type="continuationSeparator" w:id="0">
    <w:p w:rsidR="00C9639D" w:rsidP="001B775B" w:rsidRDefault="00C9639D" w14:paraId="4A0E729D" w14:textId="77777777">
      <w:r>
        <w:continuationSeparator/>
      </w:r>
    </w:p>
  </w:endnote>
  <w:endnote w:type="continuationNotice" w:id="1">
    <w:p w:rsidR="004616CD" w:rsidRDefault="004616CD" w14:paraId="3E03C412"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1869673"/>
      <w:docPartObj>
        <w:docPartGallery w:val="Page Numbers (Bottom of Page)"/>
        <w:docPartUnique/>
      </w:docPartObj>
    </w:sdtPr>
    <w:sdtEndPr>
      <w:rPr>
        <w:noProof/>
      </w:rPr>
    </w:sdtEndPr>
    <w:sdtContent>
      <w:p w:rsidR="009E6E9F" w:rsidP="00740E28" w:rsidRDefault="00483F75" w14:paraId="00074475" w14:textId="570E53D6">
        <w:pPr>
          <w:pStyle w:val="Footer"/>
          <w:rPr>
            <w:noProof/>
          </w:rP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9639D" w:rsidP="001B775B" w:rsidRDefault="00C9639D" w14:paraId="2FE8B1CF" w14:textId="77777777">
      <w:r>
        <w:separator/>
      </w:r>
    </w:p>
  </w:footnote>
  <w:footnote w:type="continuationSeparator" w:id="0">
    <w:p w:rsidR="00C9639D" w:rsidP="001B775B" w:rsidRDefault="00C9639D" w14:paraId="736FD933" w14:textId="77777777">
      <w:r>
        <w:continuationSeparator/>
      </w:r>
    </w:p>
  </w:footnote>
  <w:footnote w:type="continuationNotice" w:id="1">
    <w:p w:rsidR="004616CD" w:rsidRDefault="004616CD" w14:paraId="1E491538" w14:textId="77777777">
      <w:pPr>
        <w:spacing w:after="0"/>
      </w:pPr>
    </w:p>
  </w:footnote>
  <w:footnote w:id="2">
    <w:p w:rsidRPr="00585D52" w:rsidR="0001620A" w:rsidP="0001620A" w:rsidRDefault="0001620A" w14:paraId="3B1652CD" w14:textId="77777777">
      <w:pPr>
        <w:pStyle w:val="FootnoteText"/>
        <w:rPr>
          <w:lang w:val="en-US"/>
        </w:rPr>
      </w:pPr>
      <w:r w:rsidRPr="00585D52">
        <w:rPr>
          <w:rStyle w:val="FootnoteReference"/>
          <w:sz w:val="16"/>
          <w:szCs w:val="16"/>
        </w:rPr>
        <w:footnoteRef/>
      </w:r>
      <w:r w:rsidRPr="00585D52">
        <w:rPr>
          <w:sz w:val="16"/>
          <w:szCs w:val="16"/>
        </w:rPr>
        <w:t xml:space="preserve"> https://www.humanrights.gov.au/dda-guide-whats-it-all-about</w:t>
      </w:r>
    </w:p>
  </w:footnote>
  <w:footnote w:id="3">
    <w:p w:rsidRPr="00234E7D" w:rsidR="000C006C" w:rsidP="000C006C" w:rsidRDefault="000C006C" w14:paraId="38B305DB" w14:textId="77777777">
      <w:pPr>
        <w:pStyle w:val="FootnoteText"/>
      </w:pPr>
      <w:r>
        <w:rPr>
          <w:rStyle w:val="FootnoteReference"/>
        </w:rPr>
        <w:footnoteRef/>
      </w:r>
      <w:r>
        <w:t xml:space="preserve"> </w:t>
      </w:r>
      <w:r w:rsidRPr="00234E7D">
        <w:t>https://www.finance.gov.au/publications/resource-management-guides/guidance-assurance-reviews-process-rmg-106</w:t>
      </w:r>
    </w:p>
  </w:footnote>
  <w:footnote w:id="4">
    <w:p w:rsidRPr="003C41F2" w:rsidR="008D5BCB" w:rsidP="008D5BCB" w:rsidRDefault="008D5BCB" w14:paraId="015909C3" w14:textId="77777777">
      <w:pPr>
        <w:pStyle w:val="FootnoteText"/>
      </w:pPr>
      <w:r>
        <w:rPr>
          <w:rStyle w:val="FootnoteReference"/>
        </w:rPr>
        <w:footnoteRef/>
      </w:r>
      <w:r>
        <w:t xml:space="preserve"> An industry standard term, sometimes called Happy Flow. A happy path is </w:t>
      </w:r>
      <w:r w:rsidRPr="003C41F2">
        <w:t>a default scenario featuring no exceptional or error conditions</w:t>
      </w:r>
      <w:r>
        <w:t xml:space="preserve">. In the context of testing a prototype, this means the test is completed </w:t>
      </w:r>
      <w:r w:rsidRPr="003C41F2">
        <w:t>using known input, which executes without exception and produces an expected output</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0C854C8"/>
    <w:lvl w:ilvl="0">
      <w:start w:val="1"/>
      <w:numFmt w:val="bullet"/>
      <w:pStyle w:val="ListBullet2"/>
      <w:lvlText w:val=""/>
      <w:lvlJc w:val="left"/>
      <w:pPr>
        <w:tabs>
          <w:tab w:val="num" w:pos="1417"/>
        </w:tabs>
        <w:ind w:left="1417" w:hanging="360"/>
      </w:pPr>
      <w:rPr>
        <w:rFonts w:hint="default" w:ascii="Symbol" w:hAnsi="Symbol"/>
      </w:rPr>
    </w:lvl>
  </w:abstractNum>
  <w:abstractNum w:abstractNumId="1" w15:restartNumberingAfterBreak="0">
    <w:nsid w:val="FFFFFF89"/>
    <w:multiLevelType w:val="singleLevel"/>
    <w:tmpl w:val="09184D78"/>
    <w:lvl w:ilvl="0">
      <w:start w:val="1"/>
      <w:numFmt w:val="bullet"/>
      <w:pStyle w:val="ListBullet"/>
      <w:lvlText w:val=""/>
      <w:lvlJc w:val="left"/>
      <w:pPr>
        <w:tabs>
          <w:tab w:val="num" w:pos="360"/>
        </w:tabs>
        <w:ind w:left="360" w:hanging="360"/>
      </w:pPr>
      <w:rPr>
        <w:rFonts w:hint="default" w:ascii="Symbol" w:hAnsi="Symbol"/>
      </w:rPr>
    </w:lvl>
  </w:abstractNum>
  <w:abstractNum w:abstractNumId="2" w15:restartNumberingAfterBreak="0">
    <w:nsid w:val="01AD7C2D"/>
    <w:multiLevelType w:val="hybridMultilevel"/>
    <w:tmpl w:val="FFFFFFFF"/>
    <w:lvl w:ilvl="0" w:tplc="1E2E298C">
      <w:start w:val="1"/>
      <w:numFmt w:val="bullet"/>
      <w:lvlText w:val=""/>
      <w:lvlJc w:val="left"/>
      <w:pPr>
        <w:ind w:left="720" w:hanging="360"/>
      </w:pPr>
      <w:rPr>
        <w:rFonts w:hint="default" w:ascii="Symbol" w:hAnsi="Symbol"/>
      </w:rPr>
    </w:lvl>
    <w:lvl w:ilvl="1" w:tplc="583694F4">
      <w:start w:val="1"/>
      <w:numFmt w:val="bullet"/>
      <w:lvlText w:val="o"/>
      <w:lvlJc w:val="left"/>
      <w:pPr>
        <w:ind w:left="1440" w:hanging="360"/>
      </w:pPr>
      <w:rPr>
        <w:rFonts w:hint="default" w:ascii="Courier New" w:hAnsi="Courier New"/>
      </w:rPr>
    </w:lvl>
    <w:lvl w:ilvl="2" w:tplc="EBCA44C0">
      <w:start w:val="1"/>
      <w:numFmt w:val="bullet"/>
      <w:lvlText w:val=""/>
      <w:lvlJc w:val="left"/>
      <w:pPr>
        <w:ind w:left="2160" w:hanging="360"/>
      </w:pPr>
      <w:rPr>
        <w:rFonts w:hint="default" w:ascii="Wingdings" w:hAnsi="Wingdings"/>
      </w:rPr>
    </w:lvl>
    <w:lvl w:ilvl="3" w:tplc="D8C6C996">
      <w:start w:val="1"/>
      <w:numFmt w:val="bullet"/>
      <w:lvlText w:val=""/>
      <w:lvlJc w:val="left"/>
      <w:pPr>
        <w:ind w:left="2880" w:hanging="360"/>
      </w:pPr>
      <w:rPr>
        <w:rFonts w:hint="default" w:ascii="Symbol" w:hAnsi="Symbol"/>
      </w:rPr>
    </w:lvl>
    <w:lvl w:ilvl="4" w:tplc="2F90F11E">
      <w:start w:val="1"/>
      <w:numFmt w:val="bullet"/>
      <w:lvlText w:val="o"/>
      <w:lvlJc w:val="left"/>
      <w:pPr>
        <w:ind w:left="3600" w:hanging="360"/>
      </w:pPr>
      <w:rPr>
        <w:rFonts w:hint="default" w:ascii="Courier New" w:hAnsi="Courier New"/>
      </w:rPr>
    </w:lvl>
    <w:lvl w:ilvl="5" w:tplc="D61C6ED4">
      <w:start w:val="1"/>
      <w:numFmt w:val="bullet"/>
      <w:lvlText w:val=""/>
      <w:lvlJc w:val="left"/>
      <w:pPr>
        <w:ind w:left="4320" w:hanging="360"/>
      </w:pPr>
      <w:rPr>
        <w:rFonts w:hint="default" w:ascii="Wingdings" w:hAnsi="Wingdings"/>
      </w:rPr>
    </w:lvl>
    <w:lvl w:ilvl="6" w:tplc="55BEF264">
      <w:start w:val="1"/>
      <w:numFmt w:val="bullet"/>
      <w:lvlText w:val=""/>
      <w:lvlJc w:val="left"/>
      <w:pPr>
        <w:ind w:left="5040" w:hanging="360"/>
      </w:pPr>
      <w:rPr>
        <w:rFonts w:hint="default" w:ascii="Symbol" w:hAnsi="Symbol"/>
      </w:rPr>
    </w:lvl>
    <w:lvl w:ilvl="7" w:tplc="82A8F2FA">
      <w:start w:val="1"/>
      <w:numFmt w:val="bullet"/>
      <w:lvlText w:val="o"/>
      <w:lvlJc w:val="left"/>
      <w:pPr>
        <w:ind w:left="5760" w:hanging="360"/>
      </w:pPr>
      <w:rPr>
        <w:rFonts w:hint="default" w:ascii="Courier New" w:hAnsi="Courier New"/>
      </w:rPr>
    </w:lvl>
    <w:lvl w:ilvl="8" w:tplc="0C8CC4FA">
      <w:start w:val="1"/>
      <w:numFmt w:val="bullet"/>
      <w:lvlText w:val=""/>
      <w:lvlJc w:val="left"/>
      <w:pPr>
        <w:ind w:left="6480" w:hanging="360"/>
      </w:pPr>
      <w:rPr>
        <w:rFonts w:hint="default" w:ascii="Wingdings" w:hAnsi="Wingdings"/>
      </w:rPr>
    </w:lvl>
  </w:abstractNum>
  <w:abstractNum w:abstractNumId="3" w15:restartNumberingAfterBreak="0">
    <w:nsid w:val="059B3CEC"/>
    <w:multiLevelType w:val="hybridMultilevel"/>
    <w:tmpl w:val="EBB2C2C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07A277A9"/>
    <w:multiLevelType w:val="hybridMultilevel"/>
    <w:tmpl w:val="B8E8530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113C4B44"/>
    <w:multiLevelType w:val="multilevel"/>
    <w:tmpl w:val="DDF48398"/>
    <w:styleLink w:val="Indents"/>
    <w:lvl w:ilvl="0">
      <w:start w:val="1"/>
      <w:numFmt w:val="bullet"/>
      <w:lvlText w:val=""/>
      <w:lvlJc w:val="left"/>
      <w:pPr>
        <w:ind w:left="720" w:hanging="360"/>
      </w:pPr>
      <w:rPr>
        <w:rFonts w:hint="default" w:ascii="Symbol" w:hAnsi="Symbol"/>
        <w:color w:val="auto"/>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6" w15:restartNumberingAfterBreak="0">
    <w:nsid w:val="179A30EA"/>
    <w:multiLevelType w:val="hybridMultilevel"/>
    <w:tmpl w:val="7DFC9854"/>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7" w15:restartNumberingAfterBreak="0">
    <w:nsid w:val="1C28591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4B1414"/>
    <w:multiLevelType w:val="hybridMultilevel"/>
    <w:tmpl w:val="042ED09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1D00365A"/>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1E5B4955"/>
    <w:multiLevelType w:val="hybridMultilevel"/>
    <w:tmpl w:val="FFFFFFFF"/>
    <w:lvl w:ilvl="0" w:tplc="201AC70C">
      <w:start w:val="1"/>
      <w:numFmt w:val="decimal"/>
      <w:lvlText w:val="%1."/>
      <w:lvlJc w:val="left"/>
      <w:pPr>
        <w:ind w:left="720" w:hanging="360"/>
      </w:pPr>
    </w:lvl>
    <w:lvl w:ilvl="1" w:tplc="92C6568C">
      <w:start w:val="1"/>
      <w:numFmt w:val="lowerLetter"/>
      <w:lvlText w:val="%2."/>
      <w:lvlJc w:val="left"/>
      <w:pPr>
        <w:ind w:left="1440" w:hanging="360"/>
      </w:pPr>
    </w:lvl>
    <w:lvl w:ilvl="2" w:tplc="AD32C63C">
      <w:start w:val="1"/>
      <w:numFmt w:val="lowerRoman"/>
      <w:lvlText w:val="%3."/>
      <w:lvlJc w:val="right"/>
      <w:pPr>
        <w:ind w:left="2160" w:hanging="180"/>
      </w:pPr>
    </w:lvl>
    <w:lvl w:ilvl="3" w:tplc="8F6A40A6">
      <w:start w:val="1"/>
      <w:numFmt w:val="decimal"/>
      <w:lvlText w:val="%4."/>
      <w:lvlJc w:val="left"/>
      <w:pPr>
        <w:ind w:left="2880" w:hanging="360"/>
      </w:pPr>
    </w:lvl>
    <w:lvl w:ilvl="4" w:tplc="80025AA6">
      <w:start w:val="1"/>
      <w:numFmt w:val="lowerLetter"/>
      <w:lvlText w:val="%5."/>
      <w:lvlJc w:val="left"/>
      <w:pPr>
        <w:ind w:left="3600" w:hanging="360"/>
      </w:pPr>
    </w:lvl>
    <w:lvl w:ilvl="5" w:tplc="F572CDE0">
      <w:start w:val="1"/>
      <w:numFmt w:val="lowerRoman"/>
      <w:lvlText w:val="%6."/>
      <w:lvlJc w:val="right"/>
      <w:pPr>
        <w:ind w:left="4320" w:hanging="180"/>
      </w:pPr>
    </w:lvl>
    <w:lvl w:ilvl="6" w:tplc="8A7E6D18">
      <w:start w:val="1"/>
      <w:numFmt w:val="decimal"/>
      <w:lvlText w:val="%7."/>
      <w:lvlJc w:val="left"/>
      <w:pPr>
        <w:ind w:left="5040" w:hanging="360"/>
      </w:pPr>
    </w:lvl>
    <w:lvl w:ilvl="7" w:tplc="983A5A84">
      <w:start w:val="1"/>
      <w:numFmt w:val="lowerLetter"/>
      <w:lvlText w:val="%8."/>
      <w:lvlJc w:val="left"/>
      <w:pPr>
        <w:ind w:left="5760" w:hanging="360"/>
      </w:pPr>
    </w:lvl>
    <w:lvl w:ilvl="8" w:tplc="FD9872F2">
      <w:start w:val="1"/>
      <w:numFmt w:val="lowerRoman"/>
      <w:lvlText w:val="%9."/>
      <w:lvlJc w:val="right"/>
      <w:pPr>
        <w:ind w:left="6480" w:hanging="180"/>
      </w:pPr>
    </w:lvl>
  </w:abstractNum>
  <w:abstractNum w:abstractNumId="11" w15:restartNumberingAfterBreak="0">
    <w:nsid w:val="1ED4524D"/>
    <w:multiLevelType w:val="hybridMultilevel"/>
    <w:tmpl w:val="4DAE9B3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22596DC6"/>
    <w:multiLevelType w:val="hybridMultilevel"/>
    <w:tmpl w:val="F014E4E2"/>
    <w:lvl w:ilvl="0" w:tplc="08090001">
      <w:start w:val="1"/>
      <w:numFmt w:val="bullet"/>
      <w:pStyle w:val="PwCNormal"/>
      <w:lvlText w:val=""/>
      <w:lvlJc w:val="left"/>
      <w:pPr>
        <w:ind w:left="720" w:hanging="360"/>
      </w:pPr>
      <w:rPr>
        <w:rFonts w:hint="default" w:ascii="Symbol" w:hAnsi="Symbol"/>
      </w:rPr>
    </w:lvl>
    <w:lvl w:ilvl="1" w:tplc="08090003" w:tentative="1">
      <w:start w:val="1"/>
      <w:numFmt w:val="bullet"/>
      <w:pStyle w:val="Indent1"/>
      <w:lvlText w:val="o"/>
      <w:lvlJc w:val="left"/>
      <w:pPr>
        <w:ind w:left="1440" w:hanging="360"/>
      </w:pPr>
      <w:rPr>
        <w:rFonts w:hint="default" w:ascii="Courier New" w:hAnsi="Courier New" w:cs="Courier New"/>
      </w:rPr>
    </w:lvl>
    <w:lvl w:ilvl="2" w:tplc="08090005" w:tentative="1">
      <w:start w:val="1"/>
      <w:numFmt w:val="bullet"/>
      <w:pStyle w:val="Indent2"/>
      <w:lvlText w:val=""/>
      <w:lvlJc w:val="left"/>
      <w:pPr>
        <w:ind w:left="2160" w:hanging="360"/>
      </w:pPr>
      <w:rPr>
        <w:rFonts w:hint="default" w:ascii="Wingdings" w:hAnsi="Wingdings"/>
      </w:rPr>
    </w:lvl>
    <w:lvl w:ilvl="3" w:tplc="08090001" w:tentative="1">
      <w:start w:val="1"/>
      <w:numFmt w:val="bullet"/>
      <w:pStyle w:val="Indent3"/>
      <w:lvlText w:val=""/>
      <w:lvlJc w:val="left"/>
      <w:pPr>
        <w:ind w:left="2880" w:hanging="360"/>
      </w:pPr>
      <w:rPr>
        <w:rFonts w:hint="default" w:ascii="Symbol" w:hAnsi="Symbol"/>
      </w:rPr>
    </w:lvl>
    <w:lvl w:ilvl="4" w:tplc="08090003" w:tentative="1">
      <w:start w:val="1"/>
      <w:numFmt w:val="bullet"/>
      <w:pStyle w:val="Indent4"/>
      <w:lvlText w:val="o"/>
      <w:lvlJc w:val="left"/>
      <w:pPr>
        <w:ind w:left="3600" w:hanging="360"/>
      </w:pPr>
      <w:rPr>
        <w:rFonts w:hint="default" w:ascii="Courier New" w:hAnsi="Courier New" w:cs="Courier New"/>
      </w:rPr>
    </w:lvl>
    <w:lvl w:ilvl="5" w:tplc="08090005" w:tentative="1">
      <w:start w:val="1"/>
      <w:numFmt w:val="bullet"/>
      <w:pStyle w:val="Indent5"/>
      <w:lvlText w:val=""/>
      <w:lvlJc w:val="left"/>
      <w:pPr>
        <w:ind w:left="4320" w:hanging="360"/>
      </w:pPr>
      <w:rPr>
        <w:rFonts w:hint="default" w:ascii="Wingdings" w:hAnsi="Wingdings"/>
      </w:rPr>
    </w:lvl>
    <w:lvl w:ilvl="6" w:tplc="08090001" w:tentative="1">
      <w:start w:val="1"/>
      <w:numFmt w:val="bullet"/>
      <w:pStyle w:val="Indent6"/>
      <w:lvlText w:val=""/>
      <w:lvlJc w:val="left"/>
      <w:pPr>
        <w:ind w:left="5040" w:hanging="360"/>
      </w:pPr>
      <w:rPr>
        <w:rFonts w:hint="default" w:ascii="Symbol" w:hAnsi="Symbol"/>
      </w:rPr>
    </w:lvl>
    <w:lvl w:ilvl="7" w:tplc="08090003" w:tentative="1">
      <w:start w:val="1"/>
      <w:numFmt w:val="bullet"/>
      <w:pStyle w:val="Indent7"/>
      <w:lvlText w:val="o"/>
      <w:lvlJc w:val="left"/>
      <w:pPr>
        <w:ind w:left="5760" w:hanging="360"/>
      </w:pPr>
      <w:rPr>
        <w:rFonts w:hint="default" w:ascii="Courier New" w:hAnsi="Courier New" w:cs="Courier New"/>
      </w:rPr>
    </w:lvl>
    <w:lvl w:ilvl="8" w:tplc="08090005" w:tentative="1">
      <w:start w:val="1"/>
      <w:numFmt w:val="bullet"/>
      <w:pStyle w:val="Indent8"/>
      <w:lvlText w:val=""/>
      <w:lvlJc w:val="left"/>
      <w:pPr>
        <w:ind w:left="6480" w:hanging="360"/>
      </w:pPr>
      <w:rPr>
        <w:rFonts w:hint="default" w:ascii="Wingdings" w:hAnsi="Wingdings"/>
      </w:rPr>
    </w:lvl>
  </w:abstractNum>
  <w:abstractNum w:abstractNumId="13" w15:restartNumberingAfterBreak="0">
    <w:nsid w:val="22CB014A"/>
    <w:multiLevelType w:val="hybridMultilevel"/>
    <w:tmpl w:val="5FF473B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22F077BC"/>
    <w:multiLevelType w:val="multilevel"/>
    <w:tmpl w:val="7CF0A6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23065D37"/>
    <w:multiLevelType w:val="hybridMultilevel"/>
    <w:tmpl w:val="7C1A7B90"/>
    <w:lvl w:ilvl="0" w:tplc="ADFE552E">
      <w:start w:val="1"/>
      <w:numFmt w:val="bullet"/>
      <w:pStyle w:val="Bulletpointdo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25D757E6"/>
    <w:multiLevelType w:val="hybridMultilevel"/>
    <w:tmpl w:val="212CDA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81D0D1D"/>
    <w:multiLevelType w:val="hybridMultilevel"/>
    <w:tmpl w:val="94504CD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28DD67A2"/>
    <w:multiLevelType w:val="hybridMultilevel"/>
    <w:tmpl w:val="0CEAB58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2AEB455D"/>
    <w:multiLevelType w:val="hybridMultilevel"/>
    <w:tmpl w:val="9D762D78"/>
    <w:lvl w:ilvl="0" w:tplc="0C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B818B0"/>
    <w:multiLevelType w:val="multilevel"/>
    <w:tmpl w:val="98D0EB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319A0AE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3004C70"/>
    <w:multiLevelType w:val="hybridMultilevel"/>
    <w:tmpl w:val="51C2014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3441546B"/>
    <w:multiLevelType w:val="hybridMultilevel"/>
    <w:tmpl w:val="A11C15C6"/>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24" w15:restartNumberingAfterBreak="0">
    <w:nsid w:val="34BD744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58027AD"/>
    <w:multiLevelType w:val="hybridMultilevel"/>
    <w:tmpl w:val="C22476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37F7B190"/>
    <w:multiLevelType w:val="hybridMultilevel"/>
    <w:tmpl w:val="FFFFFFFF"/>
    <w:lvl w:ilvl="0" w:tplc="C5085946">
      <w:start w:val="1"/>
      <w:numFmt w:val="bullet"/>
      <w:lvlText w:val=""/>
      <w:lvlJc w:val="left"/>
      <w:pPr>
        <w:ind w:left="720" w:hanging="360"/>
      </w:pPr>
      <w:rPr>
        <w:rFonts w:hint="default" w:ascii="Symbol" w:hAnsi="Symbol"/>
      </w:rPr>
    </w:lvl>
    <w:lvl w:ilvl="1" w:tplc="3AD45592">
      <w:start w:val="1"/>
      <w:numFmt w:val="bullet"/>
      <w:lvlText w:val="o"/>
      <w:lvlJc w:val="left"/>
      <w:pPr>
        <w:ind w:left="1440" w:hanging="360"/>
      </w:pPr>
      <w:rPr>
        <w:rFonts w:hint="default" w:ascii="Courier New" w:hAnsi="Courier New"/>
      </w:rPr>
    </w:lvl>
    <w:lvl w:ilvl="2" w:tplc="3D30EAFA">
      <w:start w:val="1"/>
      <w:numFmt w:val="bullet"/>
      <w:lvlText w:val=""/>
      <w:lvlJc w:val="left"/>
      <w:pPr>
        <w:ind w:left="2160" w:hanging="360"/>
      </w:pPr>
      <w:rPr>
        <w:rFonts w:hint="default" w:ascii="Wingdings" w:hAnsi="Wingdings"/>
      </w:rPr>
    </w:lvl>
    <w:lvl w:ilvl="3" w:tplc="3D5C7810">
      <w:start w:val="1"/>
      <w:numFmt w:val="bullet"/>
      <w:lvlText w:val=""/>
      <w:lvlJc w:val="left"/>
      <w:pPr>
        <w:ind w:left="2880" w:hanging="360"/>
      </w:pPr>
      <w:rPr>
        <w:rFonts w:hint="default" w:ascii="Symbol" w:hAnsi="Symbol"/>
      </w:rPr>
    </w:lvl>
    <w:lvl w:ilvl="4" w:tplc="75444A56">
      <w:start w:val="1"/>
      <w:numFmt w:val="bullet"/>
      <w:lvlText w:val="o"/>
      <w:lvlJc w:val="left"/>
      <w:pPr>
        <w:ind w:left="3600" w:hanging="360"/>
      </w:pPr>
      <w:rPr>
        <w:rFonts w:hint="default" w:ascii="Courier New" w:hAnsi="Courier New"/>
      </w:rPr>
    </w:lvl>
    <w:lvl w:ilvl="5" w:tplc="271CC33E">
      <w:start w:val="1"/>
      <w:numFmt w:val="bullet"/>
      <w:lvlText w:val=""/>
      <w:lvlJc w:val="left"/>
      <w:pPr>
        <w:ind w:left="4320" w:hanging="360"/>
      </w:pPr>
      <w:rPr>
        <w:rFonts w:hint="default" w:ascii="Wingdings" w:hAnsi="Wingdings"/>
      </w:rPr>
    </w:lvl>
    <w:lvl w:ilvl="6" w:tplc="C1B61520">
      <w:start w:val="1"/>
      <w:numFmt w:val="bullet"/>
      <w:lvlText w:val=""/>
      <w:lvlJc w:val="left"/>
      <w:pPr>
        <w:ind w:left="5040" w:hanging="360"/>
      </w:pPr>
      <w:rPr>
        <w:rFonts w:hint="default" w:ascii="Symbol" w:hAnsi="Symbol"/>
      </w:rPr>
    </w:lvl>
    <w:lvl w:ilvl="7" w:tplc="AF025344">
      <w:start w:val="1"/>
      <w:numFmt w:val="bullet"/>
      <w:lvlText w:val="o"/>
      <w:lvlJc w:val="left"/>
      <w:pPr>
        <w:ind w:left="5760" w:hanging="360"/>
      </w:pPr>
      <w:rPr>
        <w:rFonts w:hint="default" w:ascii="Courier New" w:hAnsi="Courier New"/>
      </w:rPr>
    </w:lvl>
    <w:lvl w:ilvl="8" w:tplc="A7F86EB2">
      <w:start w:val="1"/>
      <w:numFmt w:val="bullet"/>
      <w:lvlText w:val=""/>
      <w:lvlJc w:val="left"/>
      <w:pPr>
        <w:ind w:left="6480" w:hanging="360"/>
      </w:pPr>
      <w:rPr>
        <w:rFonts w:hint="default" w:ascii="Wingdings" w:hAnsi="Wingdings"/>
      </w:rPr>
    </w:lvl>
  </w:abstractNum>
  <w:abstractNum w:abstractNumId="27" w15:restartNumberingAfterBreak="0">
    <w:nsid w:val="3BA147CD"/>
    <w:multiLevelType w:val="hybridMultilevel"/>
    <w:tmpl w:val="7188F15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3C067148"/>
    <w:multiLevelType w:val="multilevel"/>
    <w:tmpl w:val="1F660306"/>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D142B33"/>
    <w:multiLevelType w:val="hybridMultilevel"/>
    <w:tmpl w:val="FFFFFFFF"/>
    <w:lvl w:ilvl="0" w:tplc="8A0A32FC">
      <w:start w:val="1"/>
      <w:numFmt w:val="bullet"/>
      <w:lvlText w:val=""/>
      <w:lvlJc w:val="left"/>
      <w:pPr>
        <w:ind w:left="720" w:hanging="360"/>
      </w:pPr>
      <w:rPr>
        <w:rFonts w:hint="default" w:ascii="Symbol" w:hAnsi="Symbol"/>
      </w:rPr>
    </w:lvl>
    <w:lvl w:ilvl="1" w:tplc="4F909A28">
      <w:start w:val="1"/>
      <w:numFmt w:val="bullet"/>
      <w:lvlText w:val="o"/>
      <w:lvlJc w:val="left"/>
      <w:pPr>
        <w:ind w:left="1440" w:hanging="360"/>
      </w:pPr>
      <w:rPr>
        <w:rFonts w:hint="default" w:ascii="Courier New" w:hAnsi="Courier New"/>
      </w:rPr>
    </w:lvl>
    <w:lvl w:ilvl="2" w:tplc="583C6076">
      <w:start w:val="1"/>
      <w:numFmt w:val="bullet"/>
      <w:lvlText w:val=""/>
      <w:lvlJc w:val="left"/>
      <w:pPr>
        <w:ind w:left="2160" w:hanging="360"/>
      </w:pPr>
      <w:rPr>
        <w:rFonts w:hint="default" w:ascii="Wingdings" w:hAnsi="Wingdings"/>
      </w:rPr>
    </w:lvl>
    <w:lvl w:ilvl="3" w:tplc="2B78054A">
      <w:start w:val="1"/>
      <w:numFmt w:val="bullet"/>
      <w:lvlText w:val=""/>
      <w:lvlJc w:val="left"/>
      <w:pPr>
        <w:ind w:left="2880" w:hanging="360"/>
      </w:pPr>
      <w:rPr>
        <w:rFonts w:hint="default" w:ascii="Symbol" w:hAnsi="Symbol"/>
      </w:rPr>
    </w:lvl>
    <w:lvl w:ilvl="4" w:tplc="3A740610">
      <w:start w:val="1"/>
      <w:numFmt w:val="bullet"/>
      <w:lvlText w:val="o"/>
      <w:lvlJc w:val="left"/>
      <w:pPr>
        <w:ind w:left="3600" w:hanging="360"/>
      </w:pPr>
      <w:rPr>
        <w:rFonts w:hint="default" w:ascii="Courier New" w:hAnsi="Courier New"/>
      </w:rPr>
    </w:lvl>
    <w:lvl w:ilvl="5" w:tplc="0504AA28">
      <w:start w:val="1"/>
      <w:numFmt w:val="bullet"/>
      <w:lvlText w:val=""/>
      <w:lvlJc w:val="left"/>
      <w:pPr>
        <w:ind w:left="4320" w:hanging="360"/>
      </w:pPr>
      <w:rPr>
        <w:rFonts w:hint="default" w:ascii="Wingdings" w:hAnsi="Wingdings"/>
      </w:rPr>
    </w:lvl>
    <w:lvl w:ilvl="6" w:tplc="5F84E83C">
      <w:start w:val="1"/>
      <w:numFmt w:val="bullet"/>
      <w:lvlText w:val=""/>
      <w:lvlJc w:val="left"/>
      <w:pPr>
        <w:ind w:left="5040" w:hanging="360"/>
      </w:pPr>
      <w:rPr>
        <w:rFonts w:hint="default" w:ascii="Symbol" w:hAnsi="Symbol"/>
      </w:rPr>
    </w:lvl>
    <w:lvl w:ilvl="7" w:tplc="D230174E">
      <w:start w:val="1"/>
      <w:numFmt w:val="bullet"/>
      <w:lvlText w:val="o"/>
      <w:lvlJc w:val="left"/>
      <w:pPr>
        <w:ind w:left="5760" w:hanging="360"/>
      </w:pPr>
      <w:rPr>
        <w:rFonts w:hint="default" w:ascii="Courier New" w:hAnsi="Courier New"/>
      </w:rPr>
    </w:lvl>
    <w:lvl w:ilvl="8" w:tplc="77905848">
      <w:start w:val="1"/>
      <w:numFmt w:val="bullet"/>
      <w:lvlText w:val=""/>
      <w:lvlJc w:val="left"/>
      <w:pPr>
        <w:ind w:left="6480" w:hanging="360"/>
      </w:pPr>
      <w:rPr>
        <w:rFonts w:hint="default" w:ascii="Wingdings" w:hAnsi="Wingdings"/>
      </w:rPr>
    </w:lvl>
  </w:abstractNum>
  <w:abstractNum w:abstractNumId="30" w15:restartNumberingAfterBreak="0">
    <w:nsid w:val="49E1C8B0"/>
    <w:multiLevelType w:val="hybridMultilevel"/>
    <w:tmpl w:val="FFFFFFFF"/>
    <w:lvl w:ilvl="0" w:tplc="F522AD16">
      <w:start w:val="1"/>
      <w:numFmt w:val="bullet"/>
      <w:lvlText w:val=""/>
      <w:lvlJc w:val="left"/>
      <w:pPr>
        <w:ind w:left="720" w:hanging="360"/>
      </w:pPr>
      <w:rPr>
        <w:rFonts w:hint="default" w:ascii="Symbol" w:hAnsi="Symbol"/>
      </w:rPr>
    </w:lvl>
    <w:lvl w:ilvl="1" w:tplc="9BFA3D1A">
      <w:start w:val="1"/>
      <w:numFmt w:val="bullet"/>
      <w:lvlText w:val="o"/>
      <w:lvlJc w:val="left"/>
      <w:pPr>
        <w:ind w:left="1440" w:hanging="360"/>
      </w:pPr>
      <w:rPr>
        <w:rFonts w:hint="default" w:ascii="Courier New" w:hAnsi="Courier New"/>
      </w:rPr>
    </w:lvl>
    <w:lvl w:ilvl="2" w:tplc="91AE31AC">
      <w:start w:val="1"/>
      <w:numFmt w:val="bullet"/>
      <w:lvlText w:val=""/>
      <w:lvlJc w:val="left"/>
      <w:pPr>
        <w:ind w:left="2160" w:hanging="360"/>
      </w:pPr>
      <w:rPr>
        <w:rFonts w:hint="default" w:ascii="Wingdings" w:hAnsi="Wingdings"/>
      </w:rPr>
    </w:lvl>
    <w:lvl w:ilvl="3" w:tplc="F1EA3190">
      <w:start w:val="1"/>
      <w:numFmt w:val="bullet"/>
      <w:lvlText w:val=""/>
      <w:lvlJc w:val="left"/>
      <w:pPr>
        <w:ind w:left="2880" w:hanging="360"/>
      </w:pPr>
      <w:rPr>
        <w:rFonts w:hint="default" w:ascii="Symbol" w:hAnsi="Symbol"/>
      </w:rPr>
    </w:lvl>
    <w:lvl w:ilvl="4" w:tplc="CB04FF66">
      <w:start w:val="1"/>
      <w:numFmt w:val="bullet"/>
      <w:lvlText w:val="o"/>
      <w:lvlJc w:val="left"/>
      <w:pPr>
        <w:ind w:left="3600" w:hanging="360"/>
      </w:pPr>
      <w:rPr>
        <w:rFonts w:hint="default" w:ascii="Courier New" w:hAnsi="Courier New"/>
      </w:rPr>
    </w:lvl>
    <w:lvl w:ilvl="5" w:tplc="8BA8359C">
      <w:start w:val="1"/>
      <w:numFmt w:val="bullet"/>
      <w:lvlText w:val=""/>
      <w:lvlJc w:val="left"/>
      <w:pPr>
        <w:ind w:left="4320" w:hanging="360"/>
      </w:pPr>
      <w:rPr>
        <w:rFonts w:hint="default" w:ascii="Wingdings" w:hAnsi="Wingdings"/>
      </w:rPr>
    </w:lvl>
    <w:lvl w:ilvl="6" w:tplc="2F9280A8">
      <w:start w:val="1"/>
      <w:numFmt w:val="bullet"/>
      <w:lvlText w:val=""/>
      <w:lvlJc w:val="left"/>
      <w:pPr>
        <w:ind w:left="5040" w:hanging="360"/>
      </w:pPr>
      <w:rPr>
        <w:rFonts w:hint="default" w:ascii="Symbol" w:hAnsi="Symbol"/>
      </w:rPr>
    </w:lvl>
    <w:lvl w:ilvl="7" w:tplc="47563F5E">
      <w:start w:val="1"/>
      <w:numFmt w:val="bullet"/>
      <w:lvlText w:val="o"/>
      <w:lvlJc w:val="left"/>
      <w:pPr>
        <w:ind w:left="5760" w:hanging="360"/>
      </w:pPr>
      <w:rPr>
        <w:rFonts w:hint="default" w:ascii="Courier New" w:hAnsi="Courier New"/>
      </w:rPr>
    </w:lvl>
    <w:lvl w:ilvl="8" w:tplc="81A8AE6A">
      <w:start w:val="1"/>
      <w:numFmt w:val="bullet"/>
      <w:lvlText w:val=""/>
      <w:lvlJc w:val="left"/>
      <w:pPr>
        <w:ind w:left="6480" w:hanging="360"/>
      </w:pPr>
      <w:rPr>
        <w:rFonts w:hint="default" w:ascii="Wingdings" w:hAnsi="Wingdings"/>
      </w:rPr>
    </w:lvl>
  </w:abstractNum>
  <w:abstractNum w:abstractNumId="31" w15:restartNumberingAfterBreak="0">
    <w:nsid w:val="4B0D8226"/>
    <w:multiLevelType w:val="hybridMultilevel"/>
    <w:tmpl w:val="FFFFFFFF"/>
    <w:lvl w:ilvl="0" w:tplc="D3202F66">
      <w:start w:val="1"/>
      <w:numFmt w:val="decimal"/>
      <w:lvlText w:val="%1."/>
      <w:lvlJc w:val="left"/>
      <w:pPr>
        <w:ind w:left="720" w:hanging="360"/>
      </w:pPr>
    </w:lvl>
    <w:lvl w:ilvl="1" w:tplc="B01A6A0C">
      <w:start w:val="1"/>
      <w:numFmt w:val="lowerLetter"/>
      <w:lvlText w:val="%2."/>
      <w:lvlJc w:val="left"/>
      <w:pPr>
        <w:ind w:left="1440" w:hanging="360"/>
      </w:pPr>
    </w:lvl>
    <w:lvl w:ilvl="2" w:tplc="EDB4B084">
      <w:start w:val="1"/>
      <w:numFmt w:val="lowerRoman"/>
      <w:lvlText w:val="%3."/>
      <w:lvlJc w:val="right"/>
      <w:pPr>
        <w:ind w:left="2160" w:hanging="180"/>
      </w:pPr>
    </w:lvl>
    <w:lvl w:ilvl="3" w:tplc="28BCF716">
      <w:start w:val="1"/>
      <w:numFmt w:val="decimal"/>
      <w:lvlText w:val="%4."/>
      <w:lvlJc w:val="left"/>
      <w:pPr>
        <w:ind w:left="2880" w:hanging="360"/>
      </w:pPr>
    </w:lvl>
    <w:lvl w:ilvl="4" w:tplc="A6B271A8">
      <w:start w:val="1"/>
      <w:numFmt w:val="lowerLetter"/>
      <w:lvlText w:val="%5."/>
      <w:lvlJc w:val="left"/>
      <w:pPr>
        <w:ind w:left="3600" w:hanging="360"/>
      </w:pPr>
    </w:lvl>
    <w:lvl w:ilvl="5" w:tplc="A00EA268">
      <w:start w:val="1"/>
      <w:numFmt w:val="lowerRoman"/>
      <w:lvlText w:val="%6."/>
      <w:lvlJc w:val="right"/>
      <w:pPr>
        <w:ind w:left="4320" w:hanging="180"/>
      </w:pPr>
    </w:lvl>
    <w:lvl w:ilvl="6" w:tplc="F8C2B6BE">
      <w:start w:val="1"/>
      <w:numFmt w:val="decimal"/>
      <w:lvlText w:val="%7."/>
      <w:lvlJc w:val="left"/>
      <w:pPr>
        <w:ind w:left="5040" w:hanging="360"/>
      </w:pPr>
    </w:lvl>
    <w:lvl w:ilvl="7" w:tplc="1554A61E">
      <w:start w:val="1"/>
      <w:numFmt w:val="lowerLetter"/>
      <w:lvlText w:val="%8."/>
      <w:lvlJc w:val="left"/>
      <w:pPr>
        <w:ind w:left="5760" w:hanging="360"/>
      </w:pPr>
    </w:lvl>
    <w:lvl w:ilvl="8" w:tplc="4B5A1540">
      <w:start w:val="1"/>
      <w:numFmt w:val="lowerRoman"/>
      <w:lvlText w:val="%9."/>
      <w:lvlJc w:val="right"/>
      <w:pPr>
        <w:ind w:left="6480" w:hanging="180"/>
      </w:pPr>
    </w:lvl>
  </w:abstractNum>
  <w:abstractNum w:abstractNumId="32" w15:restartNumberingAfterBreak="0">
    <w:nsid w:val="4C116D0E"/>
    <w:multiLevelType w:val="hybridMultilevel"/>
    <w:tmpl w:val="07E8BA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2AD72E6"/>
    <w:multiLevelType w:val="hybridMultilevel"/>
    <w:tmpl w:val="6100A86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4" w15:restartNumberingAfterBreak="0">
    <w:nsid w:val="53436D3F"/>
    <w:multiLevelType w:val="hybridMultilevel"/>
    <w:tmpl w:val="FFFFFFFF"/>
    <w:lvl w:ilvl="0" w:tplc="AF9441EC">
      <w:start w:val="1"/>
      <w:numFmt w:val="bullet"/>
      <w:lvlText w:val=""/>
      <w:lvlJc w:val="left"/>
      <w:pPr>
        <w:ind w:left="720" w:hanging="360"/>
      </w:pPr>
      <w:rPr>
        <w:rFonts w:hint="default" w:ascii="Symbol" w:hAnsi="Symbol"/>
      </w:rPr>
    </w:lvl>
    <w:lvl w:ilvl="1" w:tplc="5A7EF332">
      <w:start w:val="1"/>
      <w:numFmt w:val="bullet"/>
      <w:lvlText w:val="o"/>
      <w:lvlJc w:val="left"/>
      <w:pPr>
        <w:ind w:left="1440" w:hanging="360"/>
      </w:pPr>
      <w:rPr>
        <w:rFonts w:hint="default" w:ascii="Courier New" w:hAnsi="Courier New"/>
      </w:rPr>
    </w:lvl>
    <w:lvl w:ilvl="2" w:tplc="8572E68E">
      <w:start w:val="1"/>
      <w:numFmt w:val="bullet"/>
      <w:lvlText w:val=""/>
      <w:lvlJc w:val="left"/>
      <w:pPr>
        <w:ind w:left="2160" w:hanging="360"/>
      </w:pPr>
      <w:rPr>
        <w:rFonts w:hint="default" w:ascii="Wingdings" w:hAnsi="Wingdings"/>
      </w:rPr>
    </w:lvl>
    <w:lvl w:ilvl="3" w:tplc="6360FA0A">
      <w:start w:val="1"/>
      <w:numFmt w:val="bullet"/>
      <w:lvlText w:val=""/>
      <w:lvlJc w:val="left"/>
      <w:pPr>
        <w:ind w:left="2880" w:hanging="360"/>
      </w:pPr>
      <w:rPr>
        <w:rFonts w:hint="default" w:ascii="Symbol" w:hAnsi="Symbol"/>
      </w:rPr>
    </w:lvl>
    <w:lvl w:ilvl="4" w:tplc="EA00C168">
      <w:start w:val="1"/>
      <w:numFmt w:val="bullet"/>
      <w:lvlText w:val="o"/>
      <w:lvlJc w:val="left"/>
      <w:pPr>
        <w:ind w:left="3600" w:hanging="360"/>
      </w:pPr>
      <w:rPr>
        <w:rFonts w:hint="default" w:ascii="Courier New" w:hAnsi="Courier New"/>
      </w:rPr>
    </w:lvl>
    <w:lvl w:ilvl="5" w:tplc="3BC8BAF4">
      <w:start w:val="1"/>
      <w:numFmt w:val="bullet"/>
      <w:lvlText w:val=""/>
      <w:lvlJc w:val="left"/>
      <w:pPr>
        <w:ind w:left="4320" w:hanging="360"/>
      </w:pPr>
      <w:rPr>
        <w:rFonts w:hint="default" w:ascii="Wingdings" w:hAnsi="Wingdings"/>
      </w:rPr>
    </w:lvl>
    <w:lvl w:ilvl="6" w:tplc="9F4CB190">
      <w:start w:val="1"/>
      <w:numFmt w:val="bullet"/>
      <w:lvlText w:val=""/>
      <w:lvlJc w:val="left"/>
      <w:pPr>
        <w:ind w:left="5040" w:hanging="360"/>
      </w:pPr>
      <w:rPr>
        <w:rFonts w:hint="default" w:ascii="Symbol" w:hAnsi="Symbol"/>
      </w:rPr>
    </w:lvl>
    <w:lvl w:ilvl="7" w:tplc="89BEB7B2">
      <w:start w:val="1"/>
      <w:numFmt w:val="bullet"/>
      <w:lvlText w:val="o"/>
      <w:lvlJc w:val="left"/>
      <w:pPr>
        <w:ind w:left="5760" w:hanging="360"/>
      </w:pPr>
      <w:rPr>
        <w:rFonts w:hint="default" w:ascii="Courier New" w:hAnsi="Courier New"/>
      </w:rPr>
    </w:lvl>
    <w:lvl w:ilvl="8" w:tplc="A11092EC">
      <w:start w:val="1"/>
      <w:numFmt w:val="bullet"/>
      <w:lvlText w:val=""/>
      <w:lvlJc w:val="left"/>
      <w:pPr>
        <w:ind w:left="6480" w:hanging="360"/>
      </w:pPr>
      <w:rPr>
        <w:rFonts w:hint="default" w:ascii="Wingdings" w:hAnsi="Wingdings"/>
      </w:rPr>
    </w:lvl>
  </w:abstractNum>
  <w:abstractNum w:abstractNumId="35" w15:restartNumberingAfterBreak="0">
    <w:nsid w:val="566C3E46"/>
    <w:multiLevelType w:val="hybridMultilevel"/>
    <w:tmpl w:val="6590BC18"/>
    <w:lvl w:ilvl="0" w:tplc="87006A74">
      <w:start w:val="1"/>
      <w:numFmt w:val="bullet"/>
      <w:lvlText w:val="•"/>
      <w:lvlJc w:val="left"/>
      <w:pPr>
        <w:tabs>
          <w:tab w:val="num" w:pos="720"/>
        </w:tabs>
        <w:ind w:left="720" w:hanging="360"/>
      </w:pPr>
      <w:rPr>
        <w:rFonts w:hint="default" w:ascii="Arial" w:hAnsi="Arial"/>
      </w:rPr>
    </w:lvl>
    <w:lvl w:ilvl="1" w:tplc="59907558">
      <w:start w:val="1"/>
      <w:numFmt w:val="decimal"/>
      <w:lvlText w:val="%2."/>
      <w:lvlJc w:val="left"/>
      <w:pPr>
        <w:tabs>
          <w:tab w:val="num" w:pos="1440"/>
        </w:tabs>
        <w:ind w:left="1440" w:hanging="360"/>
      </w:pPr>
    </w:lvl>
    <w:lvl w:ilvl="2" w:tplc="4606BA8E" w:tentative="1">
      <w:start w:val="1"/>
      <w:numFmt w:val="bullet"/>
      <w:lvlText w:val="•"/>
      <w:lvlJc w:val="left"/>
      <w:pPr>
        <w:tabs>
          <w:tab w:val="num" w:pos="2160"/>
        </w:tabs>
        <w:ind w:left="2160" w:hanging="360"/>
      </w:pPr>
      <w:rPr>
        <w:rFonts w:hint="default" w:ascii="Arial" w:hAnsi="Arial"/>
      </w:rPr>
    </w:lvl>
    <w:lvl w:ilvl="3" w:tplc="71DEB618" w:tentative="1">
      <w:start w:val="1"/>
      <w:numFmt w:val="bullet"/>
      <w:lvlText w:val="•"/>
      <w:lvlJc w:val="left"/>
      <w:pPr>
        <w:tabs>
          <w:tab w:val="num" w:pos="2880"/>
        </w:tabs>
        <w:ind w:left="2880" w:hanging="360"/>
      </w:pPr>
      <w:rPr>
        <w:rFonts w:hint="default" w:ascii="Arial" w:hAnsi="Arial"/>
      </w:rPr>
    </w:lvl>
    <w:lvl w:ilvl="4" w:tplc="4BBA8E1A" w:tentative="1">
      <w:start w:val="1"/>
      <w:numFmt w:val="bullet"/>
      <w:lvlText w:val="•"/>
      <w:lvlJc w:val="left"/>
      <w:pPr>
        <w:tabs>
          <w:tab w:val="num" w:pos="3600"/>
        </w:tabs>
        <w:ind w:left="3600" w:hanging="360"/>
      </w:pPr>
      <w:rPr>
        <w:rFonts w:hint="default" w:ascii="Arial" w:hAnsi="Arial"/>
      </w:rPr>
    </w:lvl>
    <w:lvl w:ilvl="5" w:tplc="F8DE200C" w:tentative="1">
      <w:start w:val="1"/>
      <w:numFmt w:val="bullet"/>
      <w:lvlText w:val="•"/>
      <w:lvlJc w:val="left"/>
      <w:pPr>
        <w:tabs>
          <w:tab w:val="num" w:pos="4320"/>
        </w:tabs>
        <w:ind w:left="4320" w:hanging="360"/>
      </w:pPr>
      <w:rPr>
        <w:rFonts w:hint="default" w:ascii="Arial" w:hAnsi="Arial"/>
      </w:rPr>
    </w:lvl>
    <w:lvl w:ilvl="6" w:tplc="CE6A6D04" w:tentative="1">
      <w:start w:val="1"/>
      <w:numFmt w:val="bullet"/>
      <w:lvlText w:val="•"/>
      <w:lvlJc w:val="left"/>
      <w:pPr>
        <w:tabs>
          <w:tab w:val="num" w:pos="5040"/>
        </w:tabs>
        <w:ind w:left="5040" w:hanging="360"/>
      </w:pPr>
      <w:rPr>
        <w:rFonts w:hint="default" w:ascii="Arial" w:hAnsi="Arial"/>
      </w:rPr>
    </w:lvl>
    <w:lvl w:ilvl="7" w:tplc="A76E943C" w:tentative="1">
      <w:start w:val="1"/>
      <w:numFmt w:val="bullet"/>
      <w:lvlText w:val="•"/>
      <w:lvlJc w:val="left"/>
      <w:pPr>
        <w:tabs>
          <w:tab w:val="num" w:pos="5760"/>
        </w:tabs>
        <w:ind w:left="5760" w:hanging="360"/>
      </w:pPr>
      <w:rPr>
        <w:rFonts w:hint="default" w:ascii="Arial" w:hAnsi="Arial"/>
      </w:rPr>
    </w:lvl>
    <w:lvl w:ilvl="8" w:tplc="36248E3C" w:tentative="1">
      <w:start w:val="1"/>
      <w:numFmt w:val="bullet"/>
      <w:lvlText w:val="•"/>
      <w:lvlJc w:val="left"/>
      <w:pPr>
        <w:tabs>
          <w:tab w:val="num" w:pos="6480"/>
        </w:tabs>
        <w:ind w:left="6480" w:hanging="360"/>
      </w:pPr>
      <w:rPr>
        <w:rFonts w:hint="default" w:ascii="Arial" w:hAnsi="Arial"/>
      </w:rPr>
    </w:lvl>
  </w:abstractNum>
  <w:abstractNum w:abstractNumId="36" w15:restartNumberingAfterBreak="0">
    <w:nsid w:val="5AAB24F8"/>
    <w:multiLevelType w:val="hybridMultilevel"/>
    <w:tmpl w:val="0B226A0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7" w15:restartNumberingAfterBreak="0">
    <w:nsid w:val="5C7410FD"/>
    <w:multiLevelType w:val="hybridMultilevel"/>
    <w:tmpl w:val="CE4231A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8" w15:restartNumberingAfterBreak="0">
    <w:nsid w:val="5DC76B7F"/>
    <w:multiLevelType w:val="multilevel"/>
    <w:tmpl w:val="961E81A6"/>
    <w:name w:val="Chapter numbering list"/>
    <w:lvl w:ilvl="0">
      <w:start w:val="1"/>
      <w:numFmt w:val="decimal"/>
      <w:lvlRestart w:val="0"/>
      <w:suff w:val="nothing"/>
      <w:lvlText w:val="%1"/>
      <w:lvlJc w:val="left"/>
      <w:pPr>
        <w:ind w:left="0" w:firstLine="0"/>
      </w:pPr>
    </w:lvl>
    <w:lvl w:ilvl="1">
      <w:start w:val="1"/>
      <w:numFmt w:val="decimal"/>
      <w:lvlRestart w:val="0"/>
      <w:lvlText w:val="%2"/>
      <w:lvlJc w:val="left"/>
      <w:pPr>
        <w:tabs>
          <w:tab w:val="num" w:pos="85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850"/>
        </w:tabs>
        <w:ind w:left="850" w:hanging="850"/>
      </w:pPr>
      <w:rPr>
        <w:b w:val="0"/>
        <w:bCs w:val="0"/>
      </w:rPr>
    </w:lvl>
    <w:lvl w:ilvl="4">
      <w:start w:val="1"/>
      <w:numFmt w:val="upperLetter"/>
      <w:lvlRestart w:val="0"/>
      <w:lvlText w:val="Appendix %5"/>
      <w:lvlJc w:val="left"/>
      <w:pPr>
        <w:tabs>
          <w:tab w:val="num" w:pos="3685"/>
        </w:tabs>
        <w:ind w:left="0" w:firstLine="0"/>
      </w:pPr>
    </w:lvl>
    <w:lvl w:ilvl="5">
      <w:start w:val="1"/>
      <w:numFmt w:val="upperLetter"/>
      <w:lvlRestart w:val="0"/>
      <w:suff w:val="nothing"/>
      <w:lvlText w:val="%6"/>
      <w:lvlJc w:val="left"/>
      <w:pPr>
        <w:ind w:left="0" w:firstLine="0"/>
      </w:pPr>
    </w:lvl>
    <w:lvl w:ilvl="6">
      <w:start w:val="1"/>
      <w:numFmt w:val="decimal"/>
      <w:lvlText w:val="%7"/>
      <w:lvlJc w:val="left"/>
      <w:pPr>
        <w:tabs>
          <w:tab w:val="num" w:pos="567"/>
        </w:tabs>
        <w:ind w:left="567" w:hanging="567"/>
      </w:pPr>
      <w:rPr>
        <w:b/>
        <w:i/>
      </w:rPr>
    </w:lvl>
    <w:lvl w:ilvl="7">
      <w:start w:val="1"/>
      <w:numFmt w:val="decimal"/>
      <w:lvlText w:val="%8"/>
      <w:lvlJc w:val="left"/>
      <w:pPr>
        <w:tabs>
          <w:tab w:val="num" w:pos="567"/>
        </w:tabs>
        <w:ind w:left="567" w:hanging="567"/>
      </w:pPr>
      <w:rPr>
        <w:b w:val="0"/>
        <w:i w:val="0"/>
        <w:color w:val="auto"/>
      </w:rPr>
    </w:lvl>
    <w:lvl w:ilvl="8">
      <w:start w:val="1"/>
      <w:numFmt w:val="lowerLetter"/>
      <w:lvlText w:val="%9"/>
      <w:lvlJc w:val="left"/>
      <w:pPr>
        <w:tabs>
          <w:tab w:val="num" w:pos="1134"/>
        </w:tabs>
        <w:ind w:left="1134" w:hanging="567"/>
      </w:pPr>
      <w:rPr>
        <w:b w:val="0"/>
        <w:i w:val="0"/>
        <w:color w:val="auto"/>
      </w:rPr>
    </w:lvl>
  </w:abstractNum>
  <w:abstractNum w:abstractNumId="39" w15:restartNumberingAfterBreak="0">
    <w:nsid w:val="636325A2"/>
    <w:multiLevelType w:val="hybridMultilevel"/>
    <w:tmpl w:val="CEDE911C"/>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40" w15:restartNumberingAfterBreak="0">
    <w:nsid w:val="66051A40"/>
    <w:multiLevelType w:val="multilevel"/>
    <w:tmpl w:val="A0046B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67B025CC"/>
    <w:multiLevelType w:val="hybridMultilevel"/>
    <w:tmpl w:val="59B029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6E8E1110"/>
    <w:multiLevelType w:val="multilevel"/>
    <w:tmpl w:val="9904D3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6E9E7192"/>
    <w:multiLevelType w:val="multilevel"/>
    <w:tmpl w:val="95A2EE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 w15:restartNumberingAfterBreak="0">
    <w:nsid w:val="6F6F3F9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2D11E71"/>
    <w:multiLevelType w:val="hybridMultilevel"/>
    <w:tmpl w:val="0F0210BA"/>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46" w15:restartNumberingAfterBreak="0">
    <w:nsid w:val="753257BA"/>
    <w:multiLevelType w:val="hybridMultilevel"/>
    <w:tmpl w:val="FFFFFFFF"/>
    <w:lvl w:ilvl="0" w:tplc="95C05400">
      <w:start w:val="1"/>
      <w:numFmt w:val="bullet"/>
      <w:lvlText w:val=""/>
      <w:lvlJc w:val="left"/>
      <w:pPr>
        <w:ind w:left="720" w:hanging="360"/>
      </w:pPr>
      <w:rPr>
        <w:rFonts w:hint="default" w:ascii="Symbol" w:hAnsi="Symbol"/>
      </w:rPr>
    </w:lvl>
    <w:lvl w:ilvl="1" w:tplc="10A4D274">
      <w:start w:val="1"/>
      <w:numFmt w:val="bullet"/>
      <w:lvlText w:val="o"/>
      <w:lvlJc w:val="left"/>
      <w:pPr>
        <w:ind w:left="1440" w:hanging="360"/>
      </w:pPr>
      <w:rPr>
        <w:rFonts w:hint="default" w:ascii="Courier New" w:hAnsi="Courier New"/>
      </w:rPr>
    </w:lvl>
    <w:lvl w:ilvl="2" w:tplc="5434C770">
      <w:start w:val="1"/>
      <w:numFmt w:val="bullet"/>
      <w:lvlText w:val=""/>
      <w:lvlJc w:val="left"/>
      <w:pPr>
        <w:ind w:left="2160" w:hanging="360"/>
      </w:pPr>
      <w:rPr>
        <w:rFonts w:hint="default" w:ascii="Wingdings" w:hAnsi="Wingdings"/>
      </w:rPr>
    </w:lvl>
    <w:lvl w:ilvl="3" w:tplc="D1E84DD8">
      <w:start w:val="1"/>
      <w:numFmt w:val="bullet"/>
      <w:lvlText w:val=""/>
      <w:lvlJc w:val="left"/>
      <w:pPr>
        <w:ind w:left="2880" w:hanging="360"/>
      </w:pPr>
      <w:rPr>
        <w:rFonts w:hint="default" w:ascii="Symbol" w:hAnsi="Symbol"/>
      </w:rPr>
    </w:lvl>
    <w:lvl w:ilvl="4" w:tplc="CA4AF758">
      <w:start w:val="1"/>
      <w:numFmt w:val="bullet"/>
      <w:lvlText w:val="o"/>
      <w:lvlJc w:val="left"/>
      <w:pPr>
        <w:ind w:left="3600" w:hanging="360"/>
      </w:pPr>
      <w:rPr>
        <w:rFonts w:hint="default" w:ascii="Courier New" w:hAnsi="Courier New"/>
      </w:rPr>
    </w:lvl>
    <w:lvl w:ilvl="5" w:tplc="AB1CE466">
      <w:start w:val="1"/>
      <w:numFmt w:val="bullet"/>
      <w:lvlText w:val=""/>
      <w:lvlJc w:val="left"/>
      <w:pPr>
        <w:ind w:left="4320" w:hanging="360"/>
      </w:pPr>
      <w:rPr>
        <w:rFonts w:hint="default" w:ascii="Wingdings" w:hAnsi="Wingdings"/>
      </w:rPr>
    </w:lvl>
    <w:lvl w:ilvl="6" w:tplc="98BCCED4">
      <w:start w:val="1"/>
      <w:numFmt w:val="bullet"/>
      <w:lvlText w:val=""/>
      <w:lvlJc w:val="left"/>
      <w:pPr>
        <w:ind w:left="5040" w:hanging="360"/>
      </w:pPr>
      <w:rPr>
        <w:rFonts w:hint="default" w:ascii="Symbol" w:hAnsi="Symbol"/>
      </w:rPr>
    </w:lvl>
    <w:lvl w:ilvl="7" w:tplc="11EAC0DE">
      <w:start w:val="1"/>
      <w:numFmt w:val="bullet"/>
      <w:lvlText w:val="o"/>
      <w:lvlJc w:val="left"/>
      <w:pPr>
        <w:ind w:left="5760" w:hanging="360"/>
      </w:pPr>
      <w:rPr>
        <w:rFonts w:hint="default" w:ascii="Courier New" w:hAnsi="Courier New"/>
      </w:rPr>
    </w:lvl>
    <w:lvl w:ilvl="8" w:tplc="8F961A88">
      <w:start w:val="1"/>
      <w:numFmt w:val="bullet"/>
      <w:lvlText w:val=""/>
      <w:lvlJc w:val="left"/>
      <w:pPr>
        <w:ind w:left="6480" w:hanging="360"/>
      </w:pPr>
      <w:rPr>
        <w:rFonts w:hint="default" w:ascii="Wingdings" w:hAnsi="Wingdings"/>
      </w:rPr>
    </w:lvl>
  </w:abstractNum>
  <w:abstractNum w:abstractNumId="47" w15:restartNumberingAfterBreak="0">
    <w:nsid w:val="780BB945"/>
    <w:multiLevelType w:val="hybridMultilevel"/>
    <w:tmpl w:val="FFFFFFFF"/>
    <w:lvl w:ilvl="0" w:tplc="DFEE509A">
      <w:start w:val="1"/>
      <w:numFmt w:val="lowerLetter"/>
      <w:lvlText w:val="%1."/>
      <w:lvlJc w:val="left"/>
      <w:pPr>
        <w:ind w:left="720" w:hanging="360"/>
      </w:pPr>
    </w:lvl>
    <w:lvl w:ilvl="1" w:tplc="BEC62B96">
      <w:start w:val="1"/>
      <w:numFmt w:val="lowerLetter"/>
      <w:lvlText w:val="%2."/>
      <w:lvlJc w:val="left"/>
      <w:pPr>
        <w:ind w:left="1440" w:hanging="360"/>
      </w:pPr>
    </w:lvl>
    <w:lvl w:ilvl="2" w:tplc="7C8220C0">
      <w:start w:val="1"/>
      <w:numFmt w:val="lowerRoman"/>
      <w:lvlText w:val="%3."/>
      <w:lvlJc w:val="right"/>
      <w:pPr>
        <w:ind w:left="2160" w:hanging="180"/>
      </w:pPr>
    </w:lvl>
    <w:lvl w:ilvl="3" w:tplc="A5C2AC8A">
      <w:start w:val="1"/>
      <w:numFmt w:val="decimal"/>
      <w:lvlText w:val="%4."/>
      <w:lvlJc w:val="left"/>
      <w:pPr>
        <w:ind w:left="2880" w:hanging="360"/>
      </w:pPr>
    </w:lvl>
    <w:lvl w:ilvl="4" w:tplc="970E88D0">
      <w:start w:val="1"/>
      <w:numFmt w:val="lowerLetter"/>
      <w:lvlText w:val="%5."/>
      <w:lvlJc w:val="left"/>
      <w:pPr>
        <w:ind w:left="3600" w:hanging="360"/>
      </w:pPr>
    </w:lvl>
    <w:lvl w:ilvl="5" w:tplc="23CE1530">
      <w:start w:val="1"/>
      <w:numFmt w:val="lowerRoman"/>
      <w:lvlText w:val="%6."/>
      <w:lvlJc w:val="right"/>
      <w:pPr>
        <w:ind w:left="4320" w:hanging="180"/>
      </w:pPr>
    </w:lvl>
    <w:lvl w:ilvl="6" w:tplc="166EE914">
      <w:start w:val="1"/>
      <w:numFmt w:val="decimal"/>
      <w:lvlText w:val="%7."/>
      <w:lvlJc w:val="left"/>
      <w:pPr>
        <w:ind w:left="5040" w:hanging="360"/>
      </w:pPr>
    </w:lvl>
    <w:lvl w:ilvl="7" w:tplc="27E4C018">
      <w:start w:val="1"/>
      <w:numFmt w:val="lowerLetter"/>
      <w:lvlText w:val="%8."/>
      <w:lvlJc w:val="left"/>
      <w:pPr>
        <w:ind w:left="5760" w:hanging="360"/>
      </w:pPr>
    </w:lvl>
    <w:lvl w:ilvl="8" w:tplc="0C7E78DE">
      <w:start w:val="1"/>
      <w:numFmt w:val="lowerRoman"/>
      <w:lvlText w:val="%9."/>
      <w:lvlJc w:val="right"/>
      <w:pPr>
        <w:ind w:left="6480" w:hanging="180"/>
      </w:pPr>
    </w:lvl>
  </w:abstractNum>
  <w:abstractNum w:abstractNumId="48" w15:restartNumberingAfterBreak="0">
    <w:nsid w:val="7A52723F"/>
    <w:multiLevelType w:val="hybridMultilevel"/>
    <w:tmpl w:val="FFFFFFFF"/>
    <w:lvl w:ilvl="0" w:tplc="35EC18C2">
      <w:start w:val="1"/>
      <w:numFmt w:val="bullet"/>
      <w:lvlText w:val=""/>
      <w:lvlJc w:val="left"/>
      <w:pPr>
        <w:ind w:left="720" w:hanging="360"/>
      </w:pPr>
      <w:rPr>
        <w:rFonts w:hint="default" w:ascii="Symbol" w:hAnsi="Symbol"/>
      </w:rPr>
    </w:lvl>
    <w:lvl w:ilvl="1" w:tplc="08608B44">
      <w:start w:val="1"/>
      <w:numFmt w:val="bullet"/>
      <w:lvlText w:val="o"/>
      <w:lvlJc w:val="left"/>
      <w:pPr>
        <w:ind w:left="1440" w:hanging="360"/>
      </w:pPr>
      <w:rPr>
        <w:rFonts w:hint="default" w:ascii="Courier New" w:hAnsi="Courier New"/>
      </w:rPr>
    </w:lvl>
    <w:lvl w:ilvl="2" w:tplc="2FAEAE04">
      <w:start w:val="1"/>
      <w:numFmt w:val="bullet"/>
      <w:lvlText w:val=""/>
      <w:lvlJc w:val="left"/>
      <w:pPr>
        <w:ind w:left="2160" w:hanging="360"/>
      </w:pPr>
      <w:rPr>
        <w:rFonts w:hint="default" w:ascii="Wingdings" w:hAnsi="Wingdings"/>
      </w:rPr>
    </w:lvl>
    <w:lvl w:ilvl="3" w:tplc="8338973C">
      <w:start w:val="1"/>
      <w:numFmt w:val="bullet"/>
      <w:lvlText w:val=""/>
      <w:lvlJc w:val="left"/>
      <w:pPr>
        <w:ind w:left="2880" w:hanging="360"/>
      </w:pPr>
      <w:rPr>
        <w:rFonts w:hint="default" w:ascii="Symbol" w:hAnsi="Symbol"/>
      </w:rPr>
    </w:lvl>
    <w:lvl w:ilvl="4" w:tplc="73A6320E">
      <w:start w:val="1"/>
      <w:numFmt w:val="bullet"/>
      <w:lvlText w:val="o"/>
      <w:lvlJc w:val="left"/>
      <w:pPr>
        <w:ind w:left="3600" w:hanging="360"/>
      </w:pPr>
      <w:rPr>
        <w:rFonts w:hint="default" w:ascii="Courier New" w:hAnsi="Courier New"/>
      </w:rPr>
    </w:lvl>
    <w:lvl w:ilvl="5" w:tplc="AAE6AFBC">
      <w:start w:val="1"/>
      <w:numFmt w:val="bullet"/>
      <w:lvlText w:val=""/>
      <w:lvlJc w:val="left"/>
      <w:pPr>
        <w:ind w:left="4320" w:hanging="360"/>
      </w:pPr>
      <w:rPr>
        <w:rFonts w:hint="default" w:ascii="Wingdings" w:hAnsi="Wingdings"/>
      </w:rPr>
    </w:lvl>
    <w:lvl w:ilvl="6" w:tplc="31DC3F3C">
      <w:start w:val="1"/>
      <w:numFmt w:val="bullet"/>
      <w:lvlText w:val=""/>
      <w:lvlJc w:val="left"/>
      <w:pPr>
        <w:ind w:left="5040" w:hanging="360"/>
      </w:pPr>
      <w:rPr>
        <w:rFonts w:hint="default" w:ascii="Symbol" w:hAnsi="Symbol"/>
      </w:rPr>
    </w:lvl>
    <w:lvl w:ilvl="7" w:tplc="3B62AB28">
      <w:start w:val="1"/>
      <w:numFmt w:val="bullet"/>
      <w:lvlText w:val="o"/>
      <w:lvlJc w:val="left"/>
      <w:pPr>
        <w:ind w:left="5760" w:hanging="360"/>
      </w:pPr>
      <w:rPr>
        <w:rFonts w:hint="default" w:ascii="Courier New" w:hAnsi="Courier New"/>
      </w:rPr>
    </w:lvl>
    <w:lvl w:ilvl="8" w:tplc="98488178">
      <w:start w:val="1"/>
      <w:numFmt w:val="bullet"/>
      <w:lvlText w:val=""/>
      <w:lvlJc w:val="left"/>
      <w:pPr>
        <w:ind w:left="6480" w:hanging="360"/>
      </w:pPr>
      <w:rPr>
        <w:rFonts w:hint="default" w:ascii="Wingdings" w:hAnsi="Wingdings"/>
      </w:rPr>
    </w:lvl>
  </w:abstractNum>
  <w:abstractNum w:abstractNumId="49" w15:restartNumberingAfterBreak="0">
    <w:nsid w:val="7EF60553"/>
    <w:multiLevelType w:val="hybridMultilevel"/>
    <w:tmpl w:val="00C6F8EE"/>
    <w:lvl w:ilvl="0" w:tplc="7E60BBD4">
      <w:start w:val="1"/>
      <w:numFmt w:val="bullet"/>
      <w:lvlText w:val=""/>
      <w:lvlJc w:val="left"/>
      <w:pPr>
        <w:ind w:left="720" w:hanging="360"/>
      </w:pPr>
      <w:rPr>
        <w:rFonts w:hint="default" w:ascii="Symbol" w:hAnsi="Symbol"/>
      </w:rPr>
    </w:lvl>
    <w:lvl w:ilvl="1" w:tplc="0C090001">
      <w:start w:val="1"/>
      <w:numFmt w:val="bullet"/>
      <w:lvlText w:val=""/>
      <w:lvlJc w:val="left"/>
      <w:pPr>
        <w:ind w:left="1440" w:hanging="360"/>
      </w:pPr>
      <w:rPr>
        <w:rFonts w:hint="default" w:ascii="Symbol" w:hAnsi="Symbol"/>
      </w:rPr>
    </w:lvl>
    <w:lvl w:ilvl="2" w:tplc="0C090001">
      <w:start w:val="1"/>
      <w:numFmt w:val="bullet"/>
      <w:lvlText w:val=""/>
      <w:lvlJc w:val="left"/>
      <w:pPr>
        <w:ind w:left="2160" w:hanging="360"/>
      </w:pPr>
      <w:rPr>
        <w:rFonts w:hint="default" w:ascii="Symbol" w:hAnsi="Symbol"/>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abstractNumId w:val="5"/>
  </w:num>
  <w:num w:numId="2">
    <w:abstractNumId w:val="1"/>
  </w:num>
  <w:num w:numId="3">
    <w:abstractNumId w:val="25"/>
  </w:num>
  <w:num w:numId="4">
    <w:abstractNumId w:val="0"/>
  </w:num>
  <w:num w:numId="5">
    <w:abstractNumId w:val="4"/>
  </w:num>
  <w:num w:numId="6">
    <w:abstractNumId w:val="45"/>
  </w:num>
  <w:num w:numId="7">
    <w:abstractNumId w:val="15"/>
  </w:num>
  <w:num w:numId="8">
    <w:abstractNumId w:val="32"/>
  </w:num>
  <w:num w:numId="9">
    <w:abstractNumId w:val="12"/>
  </w:num>
  <w:num w:numId="10">
    <w:abstractNumId w:val="16"/>
  </w:num>
  <w:num w:numId="11">
    <w:abstractNumId w:val="19"/>
  </w:num>
  <w:num w:numId="12">
    <w:abstractNumId w:val="35"/>
  </w:num>
  <w:num w:numId="13">
    <w:abstractNumId w:val="10"/>
  </w:num>
  <w:num w:numId="14">
    <w:abstractNumId w:val="39"/>
  </w:num>
  <w:num w:numId="15">
    <w:abstractNumId w:val="18"/>
  </w:num>
  <w:num w:numId="16">
    <w:abstractNumId w:val="37"/>
  </w:num>
  <w:num w:numId="17">
    <w:abstractNumId w:val="47"/>
  </w:num>
  <w:num w:numId="18">
    <w:abstractNumId w:val="29"/>
  </w:num>
  <w:num w:numId="19">
    <w:abstractNumId w:val="28"/>
  </w:num>
  <w:num w:numId="20">
    <w:abstractNumId w:val="36"/>
  </w:num>
  <w:num w:numId="21">
    <w:abstractNumId w:val="38"/>
  </w:num>
  <w:num w:numId="22">
    <w:abstractNumId w:val="44"/>
  </w:num>
  <w:num w:numId="23">
    <w:abstractNumId w:val="6"/>
  </w:num>
  <w:num w:numId="24">
    <w:abstractNumId w:val="23"/>
  </w:num>
  <w:num w:numId="25">
    <w:abstractNumId w:val="24"/>
  </w:num>
  <w:num w:numId="26">
    <w:abstractNumId w:val="21"/>
  </w:num>
  <w:num w:numId="27">
    <w:abstractNumId w:val="7"/>
  </w:num>
  <w:num w:numId="28">
    <w:abstractNumId w:val="9"/>
  </w:num>
  <w:num w:numId="29">
    <w:abstractNumId w:val="3"/>
  </w:num>
  <w:num w:numId="30">
    <w:abstractNumId w:val="48"/>
  </w:num>
  <w:num w:numId="31">
    <w:abstractNumId w:val="2"/>
  </w:num>
  <w:num w:numId="32">
    <w:abstractNumId w:val="33"/>
  </w:num>
  <w:num w:numId="33">
    <w:abstractNumId w:val="42"/>
  </w:num>
  <w:num w:numId="34">
    <w:abstractNumId w:val="14"/>
  </w:num>
  <w:num w:numId="35">
    <w:abstractNumId w:val="43"/>
  </w:num>
  <w:num w:numId="36">
    <w:abstractNumId w:val="40"/>
  </w:num>
  <w:num w:numId="37">
    <w:abstractNumId w:val="20"/>
  </w:num>
  <w:num w:numId="38">
    <w:abstractNumId w:val="30"/>
  </w:num>
  <w:num w:numId="39">
    <w:abstractNumId w:val="26"/>
  </w:num>
  <w:num w:numId="40">
    <w:abstractNumId w:val="3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21B"/>
    <w:rsid w:val="000075F5"/>
    <w:rsid w:val="0001620A"/>
    <w:rsid w:val="000406C3"/>
    <w:rsid w:val="000541EA"/>
    <w:rsid w:val="00056E51"/>
    <w:rsid w:val="00077A58"/>
    <w:rsid w:val="000A7085"/>
    <w:rsid w:val="000C006C"/>
    <w:rsid w:val="001156F9"/>
    <w:rsid w:val="00143562"/>
    <w:rsid w:val="001448FD"/>
    <w:rsid w:val="001476E8"/>
    <w:rsid w:val="001720CF"/>
    <w:rsid w:val="001A6ED0"/>
    <w:rsid w:val="001B0846"/>
    <w:rsid w:val="001B775B"/>
    <w:rsid w:val="001D3632"/>
    <w:rsid w:val="001F4829"/>
    <w:rsid w:val="001F726D"/>
    <w:rsid w:val="00207730"/>
    <w:rsid w:val="002B3D7C"/>
    <w:rsid w:val="002C1B01"/>
    <w:rsid w:val="002D7E39"/>
    <w:rsid w:val="00317EA9"/>
    <w:rsid w:val="0035492E"/>
    <w:rsid w:val="00383A0B"/>
    <w:rsid w:val="003F37A9"/>
    <w:rsid w:val="00406D67"/>
    <w:rsid w:val="004154CE"/>
    <w:rsid w:val="004446CF"/>
    <w:rsid w:val="004616CD"/>
    <w:rsid w:val="00483F75"/>
    <w:rsid w:val="00487500"/>
    <w:rsid w:val="0050709B"/>
    <w:rsid w:val="00526C47"/>
    <w:rsid w:val="00535784"/>
    <w:rsid w:val="00540644"/>
    <w:rsid w:val="00574E97"/>
    <w:rsid w:val="005963B7"/>
    <w:rsid w:val="005B6BE1"/>
    <w:rsid w:val="005C361E"/>
    <w:rsid w:val="005E2DAC"/>
    <w:rsid w:val="005F05D2"/>
    <w:rsid w:val="006037F7"/>
    <w:rsid w:val="0062691C"/>
    <w:rsid w:val="006570F0"/>
    <w:rsid w:val="00673975"/>
    <w:rsid w:val="00684B95"/>
    <w:rsid w:val="006D1685"/>
    <w:rsid w:val="006D229A"/>
    <w:rsid w:val="006E33E6"/>
    <w:rsid w:val="006F0636"/>
    <w:rsid w:val="00720826"/>
    <w:rsid w:val="00740E28"/>
    <w:rsid w:val="00793773"/>
    <w:rsid w:val="007A5916"/>
    <w:rsid w:val="007C692F"/>
    <w:rsid w:val="007C6FE2"/>
    <w:rsid w:val="007D3862"/>
    <w:rsid w:val="007E49CF"/>
    <w:rsid w:val="00815BE4"/>
    <w:rsid w:val="00832B1F"/>
    <w:rsid w:val="00850054"/>
    <w:rsid w:val="008B23A9"/>
    <w:rsid w:val="008B2CBC"/>
    <w:rsid w:val="008D5BCB"/>
    <w:rsid w:val="009B4FF6"/>
    <w:rsid w:val="009D6B1B"/>
    <w:rsid w:val="009D7F08"/>
    <w:rsid w:val="009E6E9F"/>
    <w:rsid w:val="009F007B"/>
    <w:rsid w:val="00A73287"/>
    <w:rsid w:val="00A84924"/>
    <w:rsid w:val="00A8501B"/>
    <w:rsid w:val="00B407A8"/>
    <w:rsid w:val="00B67BB6"/>
    <w:rsid w:val="00B8780D"/>
    <w:rsid w:val="00BD4CF4"/>
    <w:rsid w:val="00BD7C24"/>
    <w:rsid w:val="00BE64ED"/>
    <w:rsid w:val="00C11CD2"/>
    <w:rsid w:val="00C35F90"/>
    <w:rsid w:val="00C73740"/>
    <w:rsid w:val="00C80FAE"/>
    <w:rsid w:val="00C9639D"/>
    <w:rsid w:val="00CA1361"/>
    <w:rsid w:val="00CC4B06"/>
    <w:rsid w:val="00CC6C2C"/>
    <w:rsid w:val="00CF6A8B"/>
    <w:rsid w:val="00D04027"/>
    <w:rsid w:val="00D26D02"/>
    <w:rsid w:val="00DD39ED"/>
    <w:rsid w:val="00DD421B"/>
    <w:rsid w:val="00DD711F"/>
    <w:rsid w:val="00E60E8F"/>
    <w:rsid w:val="00E90FFE"/>
    <w:rsid w:val="00EA07F0"/>
    <w:rsid w:val="00ED4070"/>
    <w:rsid w:val="00EF256C"/>
    <w:rsid w:val="00F07949"/>
    <w:rsid w:val="00F4729C"/>
    <w:rsid w:val="00F72312"/>
    <w:rsid w:val="00F73C9B"/>
    <w:rsid w:val="00F74C6A"/>
    <w:rsid w:val="00F77E03"/>
    <w:rsid w:val="00FA1666"/>
    <w:rsid w:val="00FB034E"/>
    <w:rsid w:val="00FC0EB3"/>
    <w:rsid w:val="00FC6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7023CB"/>
  <w15:chartTrackingRefBased/>
  <w15:docId w15:val="{B3F71E04-64B6-4C30-B39E-E65FABFCE01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B775B"/>
    <w:pPr>
      <w:spacing w:after="120" w:line="240" w:lineRule="auto"/>
    </w:pPr>
    <w:rPr>
      <w:rFonts w:eastAsiaTheme="minorEastAsia" w:cstheme="minorHAnsi"/>
      <w:sz w:val="20"/>
      <w:szCs w:val="20"/>
      <w:lang w:val="en-GB" w:eastAsia="ja-JP"/>
    </w:rPr>
  </w:style>
  <w:style w:type="paragraph" w:styleId="Heading1">
    <w:name w:val="heading 1"/>
    <w:basedOn w:val="Normal"/>
    <w:next w:val="Normal"/>
    <w:link w:val="Heading1Char"/>
    <w:uiPriority w:val="9"/>
    <w:qFormat/>
    <w:rsid w:val="00056E51"/>
    <w:pPr>
      <w:outlineLvl w:val="0"/>
    </w:pPr>
    <w:rPr>
      <w:b/>
      <w:bCs/>
      <w:i/>
      <w:iCs/>
      <w:color w:val="DC6900" w:themeColor="text2"/>
      <w:sz w:val="48"/>
      <w:szCs w:val="48"/>
    </w:rPr>
  </w:style>
  <w:style w:type="paragraph" w:styleId="Heading2">
    <w:name w:val="heading 2"/>
    <w:aliases w:val="Chapter Heading (Short)"/>
    <w:basedOn w:val="Normal"/>
    <w:next w:val="Normal"/>
    <w:link w:val="Heading2Char"/>
    <w:unhideWhenUsed/>
    <w:qFormat/>
    <w:rsid w:val="0035492E"/>
    <w:pPr>
      <w:outlineLvl w:val="1"/>
    </w:pPr>
    <w:rPr>
      <w:b/>
      <w:bCs/>
      <w:sz w:val="32"/>
      <w:szCs w:val="32"/>
    </w:rPr>
  </w:style>
  <w:style w:type="paragraph" w:styleId="Heading3">
    <w:name w:val="heading 3"/>
    <w:basedOn w:val="Normal"/>
    <w:next w:val="Normal"/>
    <w:link w:val="Heading3Char"/>
    <w:uiPriority w:val="9"/>
    <w:unhideWhenUsed/>
    <w:qFormat/>
    <w:rsid w:val="0035492E"/>
    <w:pPr>
      <w:outlineLvl w:val="2"/>
    </w:pPr>
    <w:rPr>
      <w:b/>
      <w:bCs/>
    </w:rPr>
  </w:style>
  <w:style w:type="paragraph" w:styleId="Heading4">
    <w:name w:val="heading 4"/>
    <w:aliases w:val="Appendix Heading (Short)"/>
    <w:basedOn w:val="Normal"/>
    <w:next w:val="Normal"/>
    <w:link w:val="Heading4Char"/>
    <w:unhideWhenUsed/>
    <w:qFormat/>
    <w:rsid w:val="000A7085"/>
    <w:pPr>
      <w:keepNext/>
      <w:keepLines/>
      <w:spacing w:before="40" w:after="0"/>
      <w:outlineLvl w:val="3"/>
    </w:pPr>
    <w:rPr>
      <w:rFonts w:asciiTheme="majorHAnsi" w:hAnsiTheme="majorHAnsi" w:eastAsiaTheme="majorEastAsia" w:cstheme="majorBidi"/>
      <w:i/>
      <w:iCs/>
      <w:color w:val="A44E00" w:themeColor="accent1" w:themeShade="BF"/>
    </w:rPr>
  </w:style>
  <w:style w:type="paragraph" w:styleId="Heading6">
    <w:name w:val="heading 6"/>
    <w:basedOn w:val="Normal"/>
    <w:next w:val="Normal"/>
    <w:link w:val="Heading6Char"/>
    <w:unhideWhenUsed/>
    <w:qFormat/>
    <w:rsid w:val="004446CF"/>
    <w:pPr>
      <w:keepNext/>
      <w:keepLines/>
      <w:spacing w:before="40" w:after="0"/>
      <w:outlineLvl w:val="5"/>
    </w:pPr>
    <w:rPr>
      <w:rFonts w:asciiTheme="majorHAnsi" w:hAnsiTheme="majorHAnsi" w:eastAsiaTheme="majorEastAsia" w:cstheme="majorBidi"/>
      <w:color w:val="6D3300" w:themeColor="accent1" w:themeShade="7F"/>
    </w:rPr>
  </w:style>
  <w:style w:type="paragraph" w:styleId="Heading7">
    <w:name w:val="heading 7"/>
    <w:basedOn w:val="Normal"/>
    <w:next w:val="Normal"/>
    <w:link w:val="Heading7Char"/>
    <w:unhideWhenUsed/>
    <w:qFormat/>
    <w:rsid w:val="00CA1361"/>
    <w:pPr>
      <w:keepNext/>
      <w:keepLines/>
      <w:spacing w:before="40" w:after="0"/>
      <w:outlineLvl w:val="6"/>
    </w:pPr>
    <w:rPr>
      <w:rFonts w:asciiTheme="majorHAnsi" w:hAnsiTheme="majorHAnsi" w:eastAsiaTheme="majorEastAsia" w:cstheme="majorBidi"/>
      <w:i/>
      <w:iCs/>
      <w:color w:val="6D3300" w:themeColor="accent1" w:themeShade="7F"/>
    </w:rPr>
  </w:style>
  <w:style w:type="paragraph" w:styleId="Heading8">
    <w:name w:val="heading 8"/>
    <w:basedOn w:val="Normal"/>
    <w:next w:val="PwCNormal"/>
    <w:link w:val="Heading8Char"/>
    <w:qFormat/>
    <w:rsid w:val="000541EA"/>
    <w:pPr>
      <w:keepNext/>
      <w:keepLines/>
      <w:tabs>
        <w:tab w:val="num" w:pos="567"/>
      </w:tabs>
      <w:kinsoku w:val="0"/>
      <w:overflowPunct w:val="0"/>
      <w:autoSpaceDE w:val="0"/>
      <w:autoSpaceDN w:val="0"/>
      <w:adjustRightInd w:val="0"/>
      <w:snapToGrid w:val="0"/>
      <w:spacing w:before="240" w:after="40"/>
      <w:ind w:left="567" w:hanging="567"/>
      <w:outlineLvl w:val="7"/>
    </w:pPr>
    <w:rPr>
      <w:rFonts w:eastAsia="Times New Roman" w:cs="Arial" w:asciiTheme="majorHAnsi" w:hAnsiTheme="majorHAnsi"/>
      <w:b/>
      <w:i/>
      <w:snapToGrid w:val="0"/>
      <w:color w:val="DC6900" w:themeColor="text2"/>
      <w:sz w:val="32"/>
      <w:szCs w:val="21"/>
      <w:lang w:val="en-AU"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link w:val="FooterChar"/>
    <w:uiPriority w:val="99"/>
    <w:unhideWhenUsed/>
    <w:rsid w:val="00C9639D"/>
    <w:pPr>
      <w:tabs>
        <w:tab w:val="center" w:pos="4513"/>
        <w:tab w:val="right" w:pos="9026"/>
      </w:tabs>
      <w:spacing w:after="0"/>
    </w:pPr>
  </w:style>
  <w:style w:type="character" w:styleId="FooterChar" w:customStyle="1">
    <w:name w:val="Footer Char"/>
    <w:basedOn w:val="DefaultParagraphFont"/>
    <w:link w:val="Footer"/>
    <w:uiPriority w:val="99"/>
    <w:rsid w:val="00C9639D"/>
    <w:rPr>
      <w:rFonts w:eastAsiaTheme="minorEastAsia" w:cstheme="minorHAnsi"/>
      <w:sz w:val="20"/>
      <w:szCs w:val="20"/>
      <w:lang w:val="en-GB" w:eastAsia="ja-JP"/>
    </w:rPr>
  </w:style>
  <w:style w:type="paragraph" w:styleId="FootnoteText">
    <w:name w:val="footnote text"/>
    <w:basedOn w:val="Normal"/>
    <w:link w:val="FootnoteTextChar"/>
    <w:unhideWhenUsed/>
    <w:rsid w:val="00C9639D"/>
    <w:pPr>
      <w:spacing w:after="0"/>
    </w:pPr>
  </w:style>
  <w:style w:type="character" w:styleId="FootnoteTextChar" w:customStyle="1">
    <w:name w:val="Footnote Text Char"/>
    <w:basedOn w:val="DefaultParagraphFont"/>
    <w:link w:val="FootnoteText"/>
    <w:uiPriority w:val="99"/>
    <w:rsid w:val="00C9639D"/>
    <w:rPr>
      <w:rFonts w:eastAsiaTheme="minorEastAsia" w:cstheme="minorHAnsi"/>
      <w:sz w:val="20"/>
      <w:szCs w:val="20"/>
      <w:lang w:val="en-GB" w:eastAsia="ja-JP"/>
    </w:rPr>
  </w:style>
  <w:style w:type="paragraph" w:styleId="EndnoteText">
    <w:name w:val="endnote text"/>
    <w:basedOn w:val="Normal"/>
    <w:link w:val="EndnoteTextChar"/>
    <w:uiPriority w:val="99"/>
    <w:semiHidden/>
    <w:unhideWhenUsed/>
    <w:rsid w:val="00C9639D"/>
    <w:pPr>
      <w:spacing w:after="0"/>
    </w:pPr>
  </w:style>
  <w:style w:type="character" w:styleId="EndnoteTextChar" w:customStyle="1">
    <w:name w:val="Endnote Text Char"/>
    <w:basedOn w:val="DefaultParagraphFont"/>
    <w:link w:val="EndnoteText"/>
    <w:uiPriority w:val="99"/>
    <w:semiHidden/>
    <w:rsid w:val="00C9639D"/>
    <w:rPr>
      <w:rFonts w:eastAsiaTheme="minorEastAsia" w:cstheme="minorHAnsi"/>
      <w:sz w:val="20"/>
      <w:szCs w:val="20"/>
      <w:lang w:val="en-GB" w:eastAsia="ja-JP"/>
    </w:rPr>
  </w:style>
  <w:style w:type="character" w:styleId="FootnoteReference">
    <w:name w:val="footnote reference"/>
    <w:basedOn w:val="DefaultParagraphFont"/>
    <w:rsid w:val="00C9639D"/>
    <w:rPr>
      <w:rFonts w:cs="Arial"/>
      <w:sz w:val="21"/>
      <w:vertAlign w:val="superscript"/>
    </w:rPr>
  </w:style>
  <w:style w:type="character" w:styleId="Hyperlink1" w:customStyle="1">
    <w:name w:val="Hyperlink1"/>
    <w:basedOn w:val="DefaultParagraphFont"/>
    <w:uiPriority w:val="99"/>
    <w:rsid w:val="00C9639D"/>
    <w:rPr>
      <w:color w:val="DC6900"/>
      <w:u w:val="single"/>
    </w:rPr>
  </w:style>
  <w:style w:type="paragraph" w:styleId="TOCtitle" w:customStyle="1">
    <w:name w:val="TOC title"/>
    <w:basedOn w:val="Heading2"/>
    <w:next w:val="Normal"/>
    <w:uiPriority w:val="39"/>
    <w:unhideWhenUsed/>
    <w:rsid w:val="00FC6516"/>
    <w:pPr>
      <w:pageBreakBefore/>
      <w:kinsoku w:val="0"/>
      <w:overflowPunct w:val="0"/>
      <w:autoSpaceDE w:val="0"/>
      <w:autoSpaceDN w:val="0"/>
      <w:adjustRightInd w:val="0"/>
      <w:snapToGrid w:val="0"/>
      <w:spacing w:after="600" w:line="600" w:lineRule="atLeast"/>
    </w:pPr>
    <w:rPr>
      <w:rFonts w:eastAsia="Times New Roman" w:cs="Arial"/>
      <w:b w:val="0"/>
      <w:bCs w:val="0"/>
      <w:i/>
      <w:iCs/>
      <w:snapToGrid w:val="0"/>
      <w:color w:val="DC6900" w:themeColor="text2"/>
      <w:sz w:val="56"/>
      <w:szCs w:val="36"/>
    </w:rPr>
  </w:style>
  <w:style w:type="paragraph" w:styleId="ListParagraph">
    <w:name w:val="List Paragraph"/>
    <w:basedOn w:val="Normal"/>
    <w:uiPriority w:val="34"/>
    <w:qFormat/>
    <w:rsid w:val="00FC6516"/>
    <w:pPr>
      <w:kinsoku w:val="0"/>
      <w:overflowPunct w:val="0"/>
      <w:autoSpaceDE w:val="0"/>
      <w:autoSpaceDN w:val="0"/>
      <w:adjustRightInd w:val="0"/>
      <w:snapToGrid w:val="0"/>
      <w:spacing w:after="0"/>
      <w:ind w:left="720"/>
      <w:contextualSpacing/>
    </w:pPr>
    <w:rPr>
      <w:rFonts w:ascii="Georgia" w:hAnsi="Georgia" w:eastAsia="Times New Roman" w:cs="Arial"/>
      <w:snapToGrid w:val="0"/>
    </w:rPr>
  </w:style>
  <w:style w:type="paragraph" w:styleId="Normal0" w:customStyle="1">
    <w:name w:val="Normal0"/>
    <w:link w:val="Normal0Char"/>
    <w:autoRedefine/>
    <w:qFormat/>
    <w:rsid w:val="00FC6516"/>
    <w:pPr>
      <w:spacing w:after="120" w:line="240" w:lineRule="auto"/>
    </w:pPr>
    <w:rPr>
      <w:rFonts w:ascii="Georgia" w:hAnsi="Georgia" w:cs="Georgia" w:eastAsiaTheme="minorEastAsia"/>
      <w:sz w:val="20"/>
      <w:szCs w:val="24"/>
      <w:lang w:val="en-GB" w:eastAsia="ja-JP"/>
    </w:rPr>
  </w:style>
  <w:style w:type="character" w:styleId="Normal0Char" w:customStyle="1">
    <w:name w:val="Normal0 Char"/>
    <w:basedOn w:val="DefaultParagraphFont"/>
    <w:link w:val="Normal0"/>
    <w:rsid w:val="00FC6516"/>
    <w:rPr>
      <w:rFonts w:ascii="Georgia" w:hAnsi="Georgia" w:cs="Georgia" w:eastAsiaTheme="minorEastAsia"/>
      <w:sz w:val="20"/>
      <w:szCs w:val="24"/>
      <w:lang w:val="en-GB" w:eastAsia="ja-JP"/>
    </w:rPr>
  </w:style>
  <w:style w:type="character" w:styleId="Heading2Char" w:customStyle="1">
    <w:name w:val="Heading 2 Char"/>
    <w:aliases w:val="Chapter Heading (Short) Char"/>
    <w:basedOn w:val="DefaultParagraphFont"/>
    <w:link w:val="Heading2"/>
    <w:uiPriority w:val="9"/>
    <w:rsid w:val="0035492E"/>
    <w:rPr>
      <w:rFonts w:eastAsiaTheme="minorEastAsia" w:cstheme="minorHAnsi"/>
      <w:b/>
      <w:bCs/>
      <w:sz w:val="32"/>
      <w:szCs w:val="32"/>
      <w:lang w:val="en-GB" w:eastAsia="ja-JP"/>
    </w:rPr>
  </w:style>
  <w:style w:type="character" w:styleId="Heading1Char" w:customStyle="1">
    <w:name w:val="Heading 1 Char"/>
    <w:basedOn w:val="DefaultParagraphFont"/>
    <w:link w:val="Heading1"/>
    <w:uiPriority w:val="9"/>
    <w:rsid w:val="00056E51"/>
    <w:rPr>
      <w:rFonts w:eastAsiaTheme="minorEastAsia" w:cstheme="minorHAnsi"/>
      <w:b/>
      <w:bCs/>
      <w:i/>
      <w:iCs/>
      <w:color w:val="DC6900" w:themeColor="text2"/>
      <w:sz w:val="48"/>
      <w:szCs w:val="48"/>
      <w:lang w:val="en-GB" w:eastAsia="ja-JP"/>
    </w:rPr>
  </w:style>
  <w:style w:type="paragraph" w:styleId="Indent1" w:customStyle="1">
    <w:name w:val="Indent 1"/>
    <w:basedOn w:val="Normal"/>
    <w:uiPriority w:val="49"/>
    <w:qFormat/>
    <w:rsid w:val="0001620A"/>
    <w:pPr>
      <w:numPr>
        <w:ilvl w:val="1"/>
        <w:numId w:val="9"/>
      </w:numPr>
      <w:kinsoku w:val="0"/>
      <w:overflowPunct w:val="0"/>
      <w:autoSpaceDE w:val="0"/>
      <w:autoSpaceDN w:val="0"/>
      <w:adjustRightInd w:val="0"/>
      <w:snapToGrid w:val="0"/>
      <w:spacing w:before="100" w:after="100"/>
    </w:pPr>
    <w:rPr>
      <w:rFonts w:ascii="Georgia" w:hAnsi="Georgia" w:eastAsia="Times New Roman" w:cs="Times New Roman"/>
      <w:snapToGrid w:val="0"/>
      <w:lang w:val="en-AU" w:eastAsia="en-US"/>
    </w:rPr>
  </w:style>
  <w:style w:type="paragraph" w:styleId="Indent2" w:customStyle="1">
    <w:name w:val="Indent 2"/>
    <w:basedOn w:val="Indent1"/>
    <w:uiPriority w:val="49"/>
    <w:qFormat/>
    <w:rsid w:val="0001620A"/>
    <w:pPr>
      <w:numPr>
        <w:ilvl w:val="2"/>
      </w:numPr>
    </w:pPr>
  </w:style>
  <w:style w:type="paragraph" w:styleId="Indent3" w:customStyle="1">
    <w:name w:val="Indent 3"/>
    <w:basedOn w:val="Indent2"/>
    <w:uiPriority w:val="49"/>
    <w:qFormat/>
    <w:rsid w:val="0001620A"/>
    <w:pPr>
      <w:numPr>
        <w:ilvl w:val="3"/>
      </w:numPr>
    </w:pPr>
  </w:style>
  <w:style w:type="paragraph" w:styleId="Indent5" w:customStyle="1">
    <w:name w:val="Indent 5"/>
    <w:basedOn w:val="Indent4"/>
    <w:uiPriority w:val="49"/>
    <w:rsid w:val="0001620A"/>
    <w:pPr>
      <w:numPr>
        <w:ilvl w:val="5"/>
      </w:numPr>
    </w:pPr>
  </w:style>
  <w:style w:type="paragraph" w:styleId="Indent6" w:customStyle="1">
    <w:name w:val="Indent 6"/>
    <w:basedOn w:val="Indent5"/>
    <w:uiPriority w:val="49"/>
    <w:rsid w:val="0001620A"/>
    <w:pPr>
      <w:numPr>
        <w:ilvl w:val="6"/>
      </w:numPr>
    </w:pPr>
  </w:style>
  <w:style w:type="paragraph" w:styleId="Indent7" w:customStyle="1">
    <w:name w:val="Indent 7"/>
    <w:basedOn w:val="Indent6"/>
    <w:uiPriority w:val="49"/>
    <w:rsid w:val="0001620A"/>
    <w:pPr>
      <w:numPr>
        <w:ilvl w:val="7"/>
      </w:numPr>
    </w:pPr>
  </w:style>
  <w:style w:type="numbering" w:styleId="Indents" w:customStyle="1">
    <w:name w:val="Indents"/>
    <w:rsid w:val="0001620A"/>
    <w:pPr>
      <w:numPr>
        <w:numId w:val="1"/>
      </w:numPr>
    </w:pPr>
  </w:style>
  <w:style w:type="paragraph" w:styleId="Indent4" w:customStyle="1">
    <w:name w:val="Indent 4"/>
    <w:basedOn w:val="Indent3"/>
    <w:uiPriority w:val="49"/>
    <w:rsid w:val="0001620A"/>
    <w:pPr>
      <w:numPr>
        <w:ilvl w:val="4"/>
      </w:numPr>
    </w:pPr>
  </w:style>
  <w:style w:type="paragraph" w:styleId="PwCNormal" w:customStyle="1">
    <w:name w:val="PwC Normal"/>
    <w:basedOn w:val="Normal"/>
    <w:link w:val="PwCNormalChar"/>
    <w:qFormat/>
    <w:rsid w:val="0001620A"/>
    <w:pPr>
      <w:numPr>
        <w:numId w:val="9"/>
      </w:numPr>
      <w:kinsoku w:val="0"/>
      <w:overflowPunct w:val="0"/>
      <w:autoSpaceDE w:val="0"/>
      <w:autoSpaceDN w:val="0"/>
      <w:adjustRightInd w:val="0"/>
      <w:snapToGrid w:val="0"/>
      <w:spacing w:after="240"/>
    </w:pPr>
    <w:rPr>
      <w:rFonts w:ascii="Georgia" w:hAnsi="Georgia" w:eastAsia="Times New Roman" w:cs="Arial"/>
      <w:snapToGrid w:val="0"/>
      <w:lang w:val="en-AU" w:eastAsia="en-US"/>
    </w:rPr>
  </w:style>
  <w:style w:type="character" w:styleId="PwCNormalChar" w:customStyle="1">
    <w:name w:val="PwC Normal Char"/>
    <w:basedOn w:val="DefaultParagraphFont"/>
    <w:link w:val="PwCNormal"/>
    <w:rsid w:val="0001620A"/>
    <w:rPr>
      <w:rFonts w:ascii="Georgia" w:hAnsi="Georgia" w:eastAsia="Times New Roman" w:cs="Arial"/>
      <w:snapToGrid w:val="0"/>
      <w:sz w:val="20"/>
      <w:szCs w:val="20"/>
      <w:lang w:val="en-AU"/>
    </w:rPr>
  </w:style>
  <w:style w:type="paragraph" w:styleId="PwCNormal-Single" w:customStyle="1">
    <w:name w:val="PwC Normal - Single"/>
    <w:basedOn w:val="PwCNormal"/>
    <w:qFormat/>
    <w:rsid w:val="0001620A"/>
    <w:pPr>
      <w:numPr>
        <w:numId w:val="0"/>
      </w:numPr>
      <w:spacing w:after="0"/>
    </w:pPr>
  </w:style>
  <w:style w:type="paragraph" w:styleId="PrefaceTitle" w:customStyle="1">
    <w:name w:val="Preface Title"/>
    <w:basedOn w:val="Heading2"/>
    <w:next w:val="PwCNormal"/>
    <w:uiPriority w:val="19"/>
    <w:rsid w:val="0001620A"/>
    <w:pPr>
      <w:pageBreakBefore/>
      <w:kinsoku w:val="0"/>
      <w:overflowPunct w:val="0"/>
      <w:autoSpaceDE w:val="0"/>
      <w:autoSpaceDN w:val="0"/>
      <w:adjustRightInd w:val="0"/>
      <w:snapToGrid w:val="0"/>
      <w:spacing w:after="480"/>
    </w:pPr>
    <w:rPr>
      <w:rFonts w:eastAsia="Times New Roman" w:cs="Arial"/>
      <w:b w:val="0"/>
      <w:bCs w:val="0"/>
      <w:i/>
      <w:iCs/>
      <w:snapToGrid w:val="0"/>
      <w:color w:val="DC6900" w:themeColor="text2"/>
      <w:sz w:val="56"/>
      <w:szCs w:val="36"/>
      <w:lang w:val="en-AU" w:eastAsia="en-US"/>
    </w:rPr>
  </w:style>
  <w:style w:type="paragraph" w:styleId="Indent8" w:customStyle="1">
    <w:name w:val="Indent 8"/>
    <w:basedOn w:val="Indent7"/>
    <w:uiPriority w:val="49"/>
    <w:rsid w:val="0001620A"/>
    <w:pPr>
      <w:numPr>
        <w:ilvl w:val="8"/>
      </w:numPr>
    </w:pPr>
  </w:style>
  <w:style w:type="character" w:styleId="Heading6Char" w:customStyle="1">
    <w:name w:val="Heading 6 Char"/>
    <w:basedOn w:val="DefaultParagraphFont"/>
    <w:link w:val="Heading6"/>
    <w:uiPriority w:val="9"/>
    <w:semiHidden/>
    <w:rsid w:val="004446CF"/>
    <w:rPr>
      <w:rFonts w:asciiTheme="majorHAnsi" w:hAnsiTheme="majorHAnsi" w:eastAsiaTheme="majorEastAsia" w:cstheme="majorBidi"/>
      <w:color w:val="6D3300" w:themeColor="accent1" w:themeShade="7F"/>
      <w:sz w:val="20"/>
      <w:szCs w:val="20"/>
      <w:lang w:val="en-GB" w:eastAsia="ja-JP"/>
    </w:rPr>
  </w:style>
  <w:style w:type="character" w:styleId="Heading3Char" w:customStyle="1">
    <w:name w:val="Heading 3 Char"/>
    <w:basedOn w:val="DefaultParagraphFont"/>
    <w:link w:val="Heading3"/>
    <w:uiPriority w:val="9"/>
    <w:rsid w:val="0035492E"/>
    <w:rPr>
      <w:rFonts w:eastAsiaTheme="minorEastAsia" w:cstheme="minorHAnsi"/>
      <w:b/>
      <w:bCs/>
      <w:sz w:val="20"/>
      <w:szCs w:val="20"/>
      <w:lang w:val="en-GB" w:eastAsia="ja-JP"/>
    </w:rPr>
  </w:style>
  <w:style w:type="table" w:styleId="TableGrid">
    <w:name w:val="Table Grid"/>
    <w:basedOn w:val="TableNormal"/>
    <w:rsid w:val="001F4829"/>
    <w:pPr>
      <w:kinsoku w:val="0"/>
      <w:overflowPunct w:val="0"/>
      <w:autoSpaceDE w:val="0"/>
      <w:autoSpaceDN w:val="0"/>
      <w:adjustRightInd w:val="0"/>
      <w:snapToGrid w:val="0"/>
      <w:spacing w:after="0" w:line="240" w:lineRule="auto"/>
    </w:pPr>
    <w:rPr>
      <w:rFonts w:ascii="Georgia" w:hAnsi="Georgia" w:eastAsia="Times New Roman" w:cs="Times New Roman"/>
      <w:sz w:val="20"/>
      <w:szCs w:val="20"/>
      <w:lang w:val="en-AU" w:eastAsia="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ulletpointdot" w:customStyle="1">
    <w:name w:val="Bullet point dot"/>
    <w:basedOn w:val="ListParagraph"/>
    <w:qFormat/>
    <w:rsid w:val="001B0846"/>
    <w:pPr>
      <w:numPr>
        <w:numId w:val="7"/>
      </w:numPr>
      <w:kinsoku/>
      <w:overflowPunct/>
      <w:autoSpaceDE/>
      <w:autoSpaceDN/>
      <w:adjustRightInd/>
      <w:snapToGrid/>
      <w:spacing w:before="140" w:after="120" w:line="276" w:lineRule="auto"/>
      <w:contextualSpacing w:val="0"/>
    </w:pPr>
    <w:rPr>
      <w:rFonts w:asciiTheme="minorHAnsi" w:hAnsiTheme="minorHAnsi" w:eastAsiaTheme="minorHAnsi" w:cstheme="minorHAnsi"/>
      <w:snapToGrid/>
      <w:lang w:val="en-AU" w:eastAsia="en-US"/>
    </w:rPr>
  </w:style>
  <w:style w:type="character" w:styleId="Hyperlink">
    <w:name w:val="Hyperlink"/>
    <w:basedOn w:val="DefaultParagraphFont"/>
    <w:uiPriority w:val="99"/>
    <w:rsid w:val="001448FD"/>
    <w:rPr>
      <w:color w:val="DC6900" w:themeColor="text2"/>
      <w:u w:val="single"/>
    </w:rPr>
  </w:style>
  <w:style w:type="table" w:styleId="ListTable3-Accent1">
    <w:name w:val="List Table 3 Accent 1"/>
    <w:basedOn w:val="TableNormal"/>
    <w:uiPriority w:val="48"/>
    <w:rsid w:val="001448FD"/>
    <w:pPr>
      <w:spacing w:after="0" w:line="240" w:lineRule="auto"/>
    </w:pPr>
    <w:rPr>
      <w:rFonts w:ascii="Georgia" w:hAnsi="Georgia" w:eastAsia="Times New Roman" w:cs="Times New Roman"/>
      <w:sz w:val="20"/>
      <w:szCs w:val="20"/>
      <w:lang w:val="en-AU" w:eastAsia="en-AU"/>
    </w:rPr>
    <w:tblPr>
      <w:tblStyleRowBandSize w:val="1"/>
      <w:tblStyleColBandSize w:val="1"/>
      <w:tblBorders>
        <w:top w:val="single" w:color="DC6900" w:themeColor="accent1" w:sz="4" w:space="0"/>
        <w:left w:val="single" w:color="DC6900" w:themeColor="accent1" w:sz="4" w:space="0"/>
        <w:bottom w:val="single" w:color="DC6900" w:themeColor="accent1" w:sz="4" w:space="0"/>
        <w:right w:val="single" w:color="DC6900" w:themeColor="accent1" w:sz="4" w:space="0"/>
      </w:tblBorders>
    </w:tblPr>
    <w:tblStylePr w:type="firstRow">
      <w:rPr>
        <w:b/>
        <w:bCs/>
        <w:color w:val="FFFFFF" w:themeColor="background1"/>
      </w:rPr>
      <w:tblPr/>
      <w:tcPr>
        <w:shd w:val="clear" w:color="auto" w:fill="DC6900" w:themeFill="accent1"/>
      </w:tcPr>
    </w:tblStylePr>
    <w:tblStylePr w:type="lastRow">
      <w:rPr>
        <w:b/>
        <w:bCs/>
      </w:rPr>
      <w:tblPr/>
      <w:tcPr>
        <w:tcBorders>
          <w:top w:val="double" w:color="DC6900"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DC6900" w:themeColor="accent1" w:sz="4" w:space="0"/>
          <w:right w:val="single" w:color="DC6900" w:themeColor="accent1" w:sz="4" w:space="0"/>
        </w:tcBorders>
      </w:tcPr>
    </w:tblStylePr>
    <w:tblStylePr w:type="band1Horz">
      <w:tblPr/>
      <w:tcPr>
        <w:tcBorders>
          <w:top w:val="single" w:color="DC6900" w:themeColor="accent1" w:sz="4" w:space="0"/>
          <w:bottom w:val="single" w:color="DC6900"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DC6900" w:themeColor="accent1" w:sz="4" w:space="0"/>
          <w:left w:val="nil"/>
        </w:tcBorders>
      </w:tcPr>
    </w:tblStylePr>
    <w:tblStylePr w:type="swCell">
      <w:tblPr/>
      <w:tcPr>
        <w:tcBorders>
          <w:top w:val="double" w:color="DC6900" w:themeColor="accent1" w:sz="4" w:space="0"/>
          <w:right w:val="nil"/>
        </w:tcBorders>
      </w:tcPr>
    </w:tblStylePr>
  </w:style>
  <w:style w:type="table" w:styleId="Tables-APBase" w:customStyle="1">
    <w:name w:val="Tables - AP Base"/>
    <w:basedOn w:val="TableNormal"/>
    <w:rsid w:val="00CA1361"/>
    <w:pPr>
      <w:spacing w:after="0" w:line="240" w:lineRule="auto"/>
    </w:pPr>
    <w:rPr>
      <w:rFonts w:ascii="Georgia" w:hAnsi="Georgia" w:eastAsia="Times New Roman" w:cs="Times New Roman"/>
      <w:sz w:val="20"/>
      <w:szCs w:val="20"/>
      <w:lang w:val="en-AU" w:eastAsia="en-AU"/>
    </w:rPr>
    <w:tblPr>
      <w:tblStyleRowBandSize w:val="1"/>
      <w:tblStyleColBandSize w:val="1"/>
      <w:tblBorders>
        <w:top w:val="single" w:color="FFFFFF" w:sz="4" w:space="0"/>
        <w:left w:val="single" w:color="FFFFFF" w:sz="4" w:space="0"/>
        <w:bottom w:val="single" w:color="DC6900" w:themeColor="text2" w:sz="6" w:space="0"/>
        <w:right w:val="single" w:color="FFFFFF" w:sz="4" w:space="0"/>
        <w:insideH w:val="dotted" w:color="DC6900" w:themeColor="text2" w:sz="8" w:space="0"/>
        <w:insideV w:val="single" w:color="FFFFFF" w:sz="4" w:space="0"/>
      </w:tblBorders>
    </w:tblPr>
    <w:tcPr>
      <w:shd w:val="clear" w:color="auto" w:fill="auto"/>
      <w:tcMar>
        <w:top w:w="0" w:type="dxa"/>
        <w:left w:w="108" w:type="dxa"/>
        <w:bottom w:w="0" w:type="dxa"/>
        <w:right w:w="108" w:type="dxa"/>
      </w:tcMar>
    </w:tcPr>
    <w:tblStylePr w:type="firstRow">
      <w:pPr>
        <w:jc w:val="center"/>
      </w:pPr>
      <w:rPr>
        <w:rFonts w:ascii="Georgia" w:hAnsi="Georgia"/>
        <w:b w:val="0"/>
        <w:color w:val="auto"/>
      </w:rPr>
      <w:tblPr/>
      <w:trPr>
        <w:tblHeader/>
      </w:trPr>
      <w:tcPr>
        <w:tcBorders>
          <w:top w:val="single" w:color="DC6900" w:themeColor="text2" w:sz="4" w:space="0"/>
          <w:bottom w:val="single" w:color="DC6900" w:themeColor="text2" w:sz="4" w:space="0"/>
        </w:tcBorders>
      </w:tcPr>
    </w:tblStylePr>
    <w:tblStylePr w:type="lastRow">
      <w:rPr>
        <w:color w:val="auto"/>
      </w:rPr>
      <w:tblPr/>
      <w:tcPr>
        <w:tcBorders>
          <w:top w:val="single" w:color="DC6900" w:themeColor="text2" w:sz="4" w:space="0"/>
        </w:tcBorders>
        <w:shd w:val="clear" w:color="auto" w:fill="auto"/>
      </w:tcPr>
    </w:tblStylePr>
    <w:tblStylePr w:type="nwCell">
      <w:pPr>
        <w:jc w:val="left"/>
      </w:pPr>
      <w:tblPr/>
      <w:tcPr>
        <w:vAlign w:val="bottom"/>
      </w:tcPr>
    </w:tblStylePr>
  </w:style>
  <w:style w:type="paragraph" w:styleId="ListBullet2">
    <w:name w:val="List Bullet 2"/>
    <w:basedOn w:val="Normal"/>
    <w:qFormat/>
    <w:rsid w:val="00CA1361"/>
    <w:pPr>
      <w:numPr>
        <w:numId w:val="4"/>
      </w:numPr>
      <w:kinsoku w:val="0"/>
      <w:overflowPunct w:val="0"/>
      <w:autoSpaceDE w:val="0"/>
      <w:autoSpaceDN w:val="0"/>
      <w:adjustRightInd w:val="0"/>
      <w:snapToGrid w:val="0"/>
    </w:pPr>
    <w:rPr>
      <w:rFonts w:ascii="Georgia" w:hAnsi="Georgia" w:eastAsia="Times New Roman" w:cs="Arial"/>
      <w:snapToGrid w:val="0"/>
      <w:lang w:val="en-AU" w:eastAsia="en-US"/>
    </w:rPr>
  </w:style>
  <w:style w:type="paragraph" w:styleId="ListBullet">
    <w:name w:val="List Bullet"/>
    <w:basedOn w:val="Normal"/>
    <w:qFormat/>
    <w:rsid w:val="00CA1361"/>
    <w:pPr>
      <w:numPr>
        <w:numId w:val="2"/>
      </w:numPr>
      <w:kinsoku w:val="0"/>
      <w:overflowPunct w:val="0"/>
      <w:autoSpaceDE w:val="0"/>
      <w:autoSpaceDN w:val="0"/>
      <w:adjustRightInd w:val="0"/>
      <w:snapToGrid w:val="0"/>
    </w:pPr>
    <w:rPr>
      <w:rFonts w:ascii="Georgia" w:hAnsi="Georgia" w:eastAsia="Times New Roman" w:cs="Arial"/>
      <w:snapToGrid w:val="0"/>
      <w:lang w:val="en-AU" w:eastAsia="en-US"/>
    </w:rPr>
  </w:style>
  <w:style w:type="paragraph" w:styleId="themeheadings" w:customStyle="1">
    <w:name w:val="theme headings"/>
    <w:basedOn w:val="Heading7"/>
    <w:link w:val="themeheadingsChar"/>
    <w:uiPriority w:val="49"/>
    <w:qFormat/>
    <w:rsid w:val="00CA1361"/>
    <w:pPr>
      <w:shd w:val="clear" w:color="auto" w:fill="DC6900" w:themeFill="text2"/>
      <w:kinsoku w:val="0"/>
      <w:overflowPunct w:val="0"/>
      <w:autoSpaceDE w:val="0"/>
      <w:autoSpaceDN w:val="0"/>
      <w:adjustRightInd w:val="0"/>
      <w:snapToGrid w:val="0"/>
      <w:spacing w:before="0" w:after="120"/>
    </w:pPr>
    <w:rPr>
      <w:rFonts w:eastAsia="Times New Roman" w:cs="Arial"/>
      <w:b/>
      <w:bCs/>
      <w:i w:val="0"/>
      <w:iCs w:val="0"/>
      <w:snapToGrid w:val="0"/>
      <w:sz w:val="24"/>
      <w:szCs w:val="24"/>
      <w:lang w:val="en-AU"/>
    </w:rPr>
  </w:style>
  <w:style w:type="character" w:styleId="themeheadingsChar" w:customStyle="1">
    <w:name w:val="theme headings Char"/>
    <w:basedOn w:val="Heading7Char"/>
    <w:link w:val="themeheadings"/>
    <w:uiPriority w:val="49"/>
    <w:rsid w:val="00CA1361"/>
    <w:rPr>
      <w:rFonts w:eastAsia="Times New Roman" w:cs="Arial" w:asciiTheme="majorHAnsi" w:hAnsiTheme="majorHAnsi"/>
      <w:b/>
      <w:bCs/>
      <w:i w:val="0"/>
      <w:iCs w:val="0"/>
      <w:snapToGrid w:val="0"/>
      <w:color w:val="6D3300" w:themeColor="accent1" w:themeShade="7F"/>
      <w:sz w:val="24"/>
      <w:szCs w:val="24"/>
      <w:shd w:val="clear" w:color="auto" w:fill="DC6900" w:themeFill="text2"/>
      <w:lang w:val="en-AU" w:eastAsia="ja-JP"/>
    </w:rPr>
  </w:style>
  <w:style w:type="character" w:styleId="Heading7Char" w:customStyle="1">
    <w:name w:val="Heading 7 Char"/>
    <w:basedOn w:val="DefaultParagraphFont"/>
    <w:link w:val="Heading7"/>
    <w:uiPriority w:val="9"/>
    <w:semiHidden/>
    <w:rsid w:val="00CA1361"/>
    <w:rPr>
      <w:rFonts w:asciiTheme="majorHAnsi" w:hAnsiTheme="majorHAnsi" w:eastAsiaTheme="majorEastAsia" w:cstheme="majorBidi"/>
      <w:i/>
      <w:iCs/>
      <w:color w:val="6D3300" w:themeColor="accent1" w:themeShade="7F"/>
      <w:sz w:val="20"/>
      <w:szCs w:val="20"/>
      <w:lang w:val="en-GB" w:eastAsia="ja-JP"/>
    </w:rPr>
  </w:style>
  <w:style w:type="paragraph" w:styleId="Tableheadings" w:customStyle="1">
    <w:name w:val="Table headings"/>
    <w:basedOn w:val="Normal"/>
    <w:link w:val="TableheadingsChar"/>
    <w:uiPriority w:val="49"/>
    <w:qFormat/>
    <w:rsid w:val="00BD4CF4"/>
    <w:pPr>
      <w:keepNext/>
      <w:kinsoku w:val="0"/>
      <w:overflowPunct w:val="0"/>
      <w:autoSpaceDE w:val="0"/>
      <w:autoSpaceDN w:val="0"/>
      <w:adjustRightInd w:val="0"/>
      <w:snapToGrid w:val="0"/>
      <w:spacing w:after="0" w:line="259" w:lineRule="auto"/>
    </w:pPr>
    <w:rPr>
      <w:rFonts w:eastAsia="Times New Roman" w:cs="Times New Roman" w:asciiTheme="majorHAnsi" w:hAnsiTheme="majorHAnsi"/>
      <w:b/>
      <w:snapToGrid w:val="0"/>
      <w:sz w:val="24"/>
      <w:szCs w:val="24"/>
      <w:lang w:val="en-AU" w:eastAsia="en-US"/>
    </w:rPr>
  </w:style>
  <w:style w:type="character" w:styleId="TableheadingsChar" w:customStyle="1">
    <w:name w:val="Table headings Char"/>
    <w:basedOn w:val="DefaultParagraphFont"/>
    <w:link w:val="Tableheadings"/>
    <w:uiPriority w:val="49"/>
    <w:rsid w:val="00BD4CF4"/>
    <w:rPr>
      <w:rFonts w:eastAsia="Times New Roman" w:cs="Times New Roman" w:asciiTheme="majorHAnsi" w:hAnsiTheme="majorHAnsi"/>
      <w:b/>
      <w:snapToGrid w:val="0"/>
      <w:sz w:val="24"/>
      <w:szCs w:val="24"/>
      <w:lang w:val="en-AU"/>
    </w:rPr>
  </w:style>
  <w:style w:type="character" w:styleId="Heading4Char" w:customStyle="1">
    <w:name w:val="Heading 4 Char"/>
    <w:aliases w:val="Appendix Heading (Short) Char"/>
    <w:basedOn w:val="DefaultParagraphFont"/>
    <w:link w:val="Heading4"/>
    <w:uiPriority w:val="9"/>
    <w:semiHidden/>
    <w:rsid w:val="000A7085"/>
    <w:rPr>
      <w:rFonts w:asciiTheme="majorHAnsi" w:hAnsiTheme="majorHAnsi" w:eastAsiaTheme="majorEastAsia" w:cstheme="majorBidi"/>
      <w:i/>
      <w:iCs/>
      <w:color w:val="A44E00" w:themeColor="accent1" w:themeShade="BF"/>
      <w:sz w:val="20"/>
      <w:szCs w:val="20"/>
      <w:lang w:val="en-GB" w:eastAsia="ja-JP"/>
    </w:rPr>
  </w:style>
  <w:style w:type="character" w:styleId="normaltextrun" w:customStyle="1">
    <w:name w:val="normaltextrun"/>
    <w:basedOn w:val="DefaultParagraphFont"/>
    <w:rsid w:val="00F74C6A"/>
  </w:style>
  <w:style w:type="paragraph" w:styleId="BlockText2" w:customStyle="1">
    <w:name w:val="Block Text 2"/>
    <w:basedOn w:val="Normal"/>
    <w:autoRedefine/>
    <w:qFormat/>
    <w:rsid w:val="000C006C"/>
    <w:pPr>
      <w:pBdr>
        <w:top w:val="single" w:color="DC6900" w:themeColor="text2" w:sz="2" w:space="10"/>
        <w:left w:val="single" w:color="DC6900" w:themeColor="text2" w:sz="2" w:space="10"/>
        <w:bottom w:val="single" w:color="DC6900" w:themeColor="text2" w:sz="2" w:space="10"/>
        <w:right w:val="single" w:color="DC6900" w:themeColor="text2" w:sz="2" w:space="10"/>
      </w:pBdr>
      <w:spacing w:after="240"/>
      <w:ind w:left="227" w:right="227"/>
    </w:pPr>
    <w:rPr>
      <w:rFonts w:ascii="Georgia" w:hAnsi="Georgia" w:eastAsiaTheme="minorHAnsi" w:cstheme="minorBidi"/>
      <w:sz w:val="32"/>
      <w:szCs w:val="48"/>
      <w:lang w:eastAsia="en-US"/>
    </w:rPr>
  </w:style>
  <w:style w:type="table" w:styleId="GridTable1Light">
    <w:name w:val="Grid Table 1 Light"/>
    <w:basedOn w:val="TableNormal"/>
    <w:uiPriority w:val="46"/>
    <w:rsid w:val="000C006C"/>
    <w:pPr>
      <w:spacing w:after="0" w:line="240" w:lineRule="auto"/>
    </w:pPr>
    <w:rPr>
      <w:rFonts w:ascii="Georgia" w:hAnsi="Georgia" w:eastAsia="Times New Roman" w:cs="Times New Roman"/>
      <w:sz w:val="20"/>
      <w:szCs w:val="20"/>
      <w:lang w:val="en-AU" w:eastAsia="en-AU"/>
    </w:r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character" w:styleId="Heading8Char" w:customStyle="1">
    <w:name w:val="Heading 8 Char"/>
    <w:basedOn w:val="DefaultParagraphFont"/>
    <w:link w:val="Heading8"/>
    <w:rsid w:val="000541EA"/>
    <w:rPr>
      <w:rFonts w:eastAsia="Times New Roman" w:cs="Arial" w:asciiTheme="majorHAnsi" w:hAnsiTheme="majorHAnsi"/>
      <w:b/>
      <w:i/>
      <w:snapToGrid w:val="0"/>
      <w:color w:val="DC6900" w:themeColor="text2"/>
      <w:sz w:val="32"/>
      <w:szCs w:val="21"/>
      <w:lang w:val="en-AU"/>
    </w:rPr>
  </w:style>
  <w:style w:type="paragraph" w:styleId="AppendixNumberLong" w:customStyle="1">
    <w:name w:val="Appendix Number (Long)"/>
    <w:basedOn w:val="Heading3"/>
    <w:next w:val="Heading3"/>
    <w:rsid w:val="000541EA"/>
    <w:pPr>
      <w:keepNext/>
      <w:keepLines/>
      <w:pageBreakBefore/>
      <w:framePr w:w="8220" w:wrap="around" w:hAnchor="margin" w:vAnchor="page" w:x="1418" w:y="14060"/>
      <w:kinsoku w:val="0"/>
      <w:overflowPunct w:val="0"/>
      <w:autoSpaceDE w:val="0"/>
      <w:autoSpaceDN w:val="0"/>
      <w:adjustRightInd w:val="0"/>
      <w:snapToGrid w:val="0"/>
      <w:spacing w:after="0"/>
    </w:pPr>
    <w:rPr>
      <w:rFonts w:eastAsia="Times New Roman" w:cs="Arial" w:asciiTheme="majorHAnsi" w:hAnsiTheme="majorHAnsi"/>
      <w:bCs w:val="0"/>
      <w:i/>
      <w:snapToGrid w:val="0"/>
      <w:color w:val="000000" w:themeColor="text1"/>
      <w:sz w:val="64"/>
      <w:szCs w:val="72"/>
      <w:lang w:val="en-AU" w:eastAsia="en-US"/>
    </w:rPr>
  </w:style>
  <w:style w:type="paragraph" w:styleId="ChapterNumberLong" w:customStyle="1">
    <w:name w:val="Chapter Number (Long)"/>
    <w:basedOn w:val="Heading1"/>
    <w:next w:val="Heading1"/>
    <w:rsid w:val="000541EA"/>
    <w:pPr>
      <w:pageBreakBefore/>
      <w:framePr w:w="1134" w:h="1843" w:hSpace="57" w:wrap="around" w:hAnchor="page" w:x="851" w:y="13663"/>
      <w:kinsoku w:val="0"/>
      <w:overflowPunct w:val="0"/>
      <w:autoSpaceDE w:val="0"/>
      <w:autoSpaceDN w:val="0"/>
      <w:adjustRightInd w:val="0"/>
      <w:snapToGrid w:val="0"/>
      <w:spacing w:after="0"/>
    </w:pPr>
    <w:rPr>
      <w:rFonts w:eastAsia="Times New Roman" w:cs="Arial"/>
      <w:iCs w:val="0"/>
      <w:snapToGrid w:val="0"/>
      <w:color w:val="404040" w:themeColor="text1" w:themeTint="BF"/>
      <w:sz w:val="160"/>
      <w:szCs w:val="72"/>
      <w:lang w:val="en-AU" w:eastAsia="en-US"/>
    </w:rPr>
  </w:style>
  <w:style w:type="paragraph" w:styleId="TOC4">
    <w:name w:val="toc 4"/>
    <w:basedOn w:val="TOC2"/>
    <w:next w:val="PwCNormal"/>
    <w:uiPriority w:val="39"/>
    <w:rsid w:val="000541EA"/>
    <w:pPr>
      <w:tabs>
        <w:tab w:val="left" w:pos="1134"/>
        <w:tab w:val="right" w:pos="7031"/>
      </w:tabs>
      <w:kinsoku w:val="0"/>
      <w:overflowPunct w:val="0"/>
      <w:autoSpaceDE w:val="0"/>
      <w:autoSpaceDN w:val="0"/>
      <w:adjustRightInd w:val="0"/>
      <w:snapToGrid w:val="0"/>
      <w:spacing w:before="240" w:after="240" w:line="240" w:lineRule="atLeast"/>
      <w:ind w:left="1134" w:right="851" w:hanging="1134"/>
    </w:pPr>
    <w:rPr>
      <w:rFonts w:ascii="Georgia" w:hAnsi="Georgia" w:eastAsia="Times New Roman" w:cs="Arial"/>
      <w:snapToGrid w:val="0"/>
      <w:lang w:val="en-AU" w:eastAsia="en-US"/>
    </w:rPr>
  </w:style>
  <w:style w:type="paragraph" w:styleId="ChapterNumberedList1" w:customStyle="1">
    <w:name w:val="Chapter Numbered List 1"/>
    <w:basedOn w:val="PwCNormal"/>
    <w:rsid w:val="000541EA"/>
    <w:pPr>
      <w:numPr>
        <w:numId w:val="0"/>
      </w:numPr>
      <w:tabs>
        <w:tab w:val="num" w:pos="567"/>
      </w:tabs>
      <w:spacing w:after="120"/>
      <w:ind w:left="567" w:hanging="567"/>
    </w:pPr>
  </w:style>
  <w:style w:type="paragraph" w:styleId="ChapterNumberedList2" w:customStyle="1">
    <w:name w:val="Chapter Numbered List 2"/>
    <w:basedOn w:val="ChapterNumberedList1"/>
    <w:rsid w:val="000541EA"/>
    <w:pPr>
      <w:tabs>
        <w:tab w:val="clear" w:pos="567"/>
        <w:tab w:val="num" w:pos="1134"/>
      </w:tabs>
      <w:ind w:left="1134"/>
    </w:pPr>
  </w:style>
  <w:style w:type="paragraph" w:styleId="TOC2">
    <w:name w:val="toc 2"/>
    <w:basedOn w:val="Normal"/>
    <w:next w:val="Normal"/>
    <w:autoRedefine/>
    <w:uiPriority w:val="39"/>
    <w:semiHidden/>
    <w:unhideWhenUsed/>
    <w:rsid w:val="000541EA"/>
    <w:pPr>
      <w:spacing w:after="100"/>
      <w:ind w:left="200"/>
    </w:pPr>
  </w:style>
  <w:style w:type="paragraph" w:styleId="Minorheading" w:customStyle="1">
    <w:name w:val="Minor heading"/>
    <w:basedOn w:val="Normal"/>
    <w:next w:val="PwCNormal"/>
    <w:qFormat/>
    <w:rsid w:val="006037F7"/>
    <w:pPr>
      <w:keepNext/>
      <w:keepLines/>
      <w:kinsoku w:val="0"/>
      <w:overflowPunct w:val="0"/>
      <w:autoSpaceDE w:val="0"/>
      <w:autoSpaceDN w:val="0"/>
      <w:adjustRightInd w:val="0"/>
      <w:snapToGrid w:val="0"/>
      <w:spacing w:before="240" w:after="40" w:line="180" w:lineRule="atLeast"/>
    </w:pPr>
    <w:rPr>
      <w:rFonts w:eastAsia="Times New Roman" w:cs="Arial" w:asciiTheme="majorHAnsi" w:hAnsiTheme="majorHAnsi"/>
      <w:i/>
      <w:snapToGrid w:val="0"/>
      <w:color w:val="DC6900" w:themeColor="text2"/>
      <w:sz w:val="26"/>
      <w:szCs w:val="24"/>
      <w:lang w:val="en-AU" w:eastAsia="en-US"/>
    </w:rPr>
  </w:style>
  <w:style w:type="character" w:styleId="UnresolvedMention">
    <w:name w:val="Unresolved Mention"/>
    <w:basedOn w:val="DefaultParagraphFont"/>
    <w:uiPriority w:val="99"/>
    <w:semiHidden/>
    <w:unhideWhenUsed/>
    <w:rsid w:val="008D5BCB"/>
    <w:rPr>
      <w:color w:val="605E5C"/>
      <w:shd w:val="clear" w:color="auto" w:fill="E1DFDD"/>
    </w:rPr>
  </w:style>
  <w:style w:type="paragraph" w:styleId="NormalWeb">
    <w:name w:val="Normal (Web)"/>
    <w:basedOn w:val="Normal"/>
    <w:uiPriority w:val="99"/>
    <w:unhideWhenUsed/>
    <w:rsid w:val="004154CE"/>
    <w:pPr>
      <w:spacing w:before="100" w:beforeAutospacing="1" w:after="100" w:afterAutospacing="1"/>
    </w:pPr>
    <w:rPr>
      <w:rFonts w:ascii="Times New Roman" w:hAnsi="Times New Roman" w:eastAsia="Times New Roman" w:cs="Times New Roman"/>
      <w:sz w:val="24"/>
      <w:szCs w:val="24"/>
      <w:lang w:val="en-AU" w:eastAsia="en-AU"/>
    </w:rPr>
  </w:style>
  <w:style w:type="paragraph" w:styleId="Header">
    <w:name w:val="header"/>
    <w:basedOn w:val="Normal"/>
    <w:link w:val="HeaderChar"/>
    <w:uiPriority w:val="99"/>
    <w:unhideWhenUsed/>
    <w:rsid w:val="004616CD"/>
    <w:pPr>
      <w:tabs>
        <w:tab w:val="center" w:pos="4513"/>
        <w:tab w:val="right" w:pos="9026"/>
      </w:tabs>
      <w:spacing w:after="0"/>
    </w:pPr>
  </w:style>
  <w:style w:type="character" w:styleId="HeaderChar" w:customStyle="1">
    <w:name w:val="Header Char"/>
    <w:basedOn w:val="DefaultParagraphFont"/>
    <w:link w:val="Header"/>
    <w:uiPriority w:val="99"/>
    <w:rsid w:val="004616CD"/>
    <w:rPr>
      <w:rFonts w:eastAsiaTheme="minorEastAsia" w:cstheme="minorHAnsi"/>
      <w:sz w:val="20"/>
      <w:szCs w:val="20"/>
      <w:lang w:val="en-GB" w:eastAsia="ja-JP"/>
    </w:rPr>
  </w:style>
  <w:style w:type="paragraph" w:styleId="Title">
    <w:name w:val="Title"/>
    <w:basedOn w:val="Heading1"/>
    <w:next w:val="Normal"/>
    <w:link w:val="TitleChar"/>
    <w:uiPriority w:val="10"/>
    <w:qFormat/>
    <w:rsid w:val="00143562"/>
  </w:style>
  <w:style w:type="character" w:styleId="TitleChar" w:customStyle="1">
    <w:name w:val="Title Char"/>
    <w:basedOn w:val="DefaultParagraphFont"/>
    <w:link w:val="Title"/>
    <w:uiPriority w:val="10"/>
    <w:rsid w:val="00143562"/>
    <w:rPr>
      <w:rFonts w:eastAsiaTheme="minorEastAsia" w:cstheme="minorHAnsi"/>
      <w:b/>
      <w:bCs/>
      <w:i/>
      <w:iCs/>
      <w:color w:val="DC6900" w:themeColor="text2"/>
      <w:sz w:val="48"/>
      <w:szCs w:val="48"/>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hyperlink" Target="https://centreforinclusivedesign.org.au/index.php/resources/inclusive-design/" TargetMode="External" Id="rId26" /><Relationship Type="http://schemas.openxmlformats.org/officeDocument/2006/relationships/hyperlink" Target="https://www.w3.org/WAI/WCAG21/Understanding/text-spacing.html" TargetMode="External" Id="rId21" /><Relationship Type="http://schemas.openxmlformats.org/officeDocument/2006/relationships/image" Target="media/image16.png" Id="rId42" /><Relationship Type="http://schemas.openxmlformats.org/officeDocument/2006/relationships/image" Target="media/image21.png" Id="rId47" /><Relationship Type="http://schemas.openxmlformats.org/officeDocument/2006/relationships/hyperlink" Target="https://www.figma.com/proto/eD8wR1DG7iMwjOb8KkGNgJ/Consent-Flow?kind=&amp;node-id=825%3A8022&amp;page-id=825%3A7676&amp;scaling=scale-down&amp;starting-point-node-id=825%3A7800&amp;viewport=241%2C48%2C0.07" TargetMode="External" Id="rId63" /><Relationship Type="http://schemas.openxmlformats.org/officeDocument/2006/relationships/hyperlink" Target="https://storybook.js.org/tutorials/intro-to-storybook/" TargetMode="External" Id="rId68" /><Relationship Type="http://schemas.openxmlformats.org/officeDocument/2006/relationships/numbering" Target="numbering.xml" Id="rId2" /><Relationship Type="http://schemas.openxmlformats.org/officeDocument/2006/relationships/image" Target="media/image2.png" Id="rId16" /><Relationship Type="http://schemas.openxmlformats.org/officeDocument/2006/relationships/image" Target="media/image5.png" Id="rId29" /><Relationship Type="http://schemas.openxmlformats.org/officeDocument/2006/relationships/hyperlink" Target="https://www.w3.org/WAI/WCAG21/Understanding/page-titled.html" TargetMode="External" Id="rId11" /><Relationship Type="http://schemas.openxmlformats.org/officeDocument/2006/relationships/hyperlink" Target="https://www.figma.com/proto/eD8wR1DG7iMwjOb8KkGNgJ?kind=&amp;node-id=825:7800&amp;page-id=825:7676&amp;scaling=scale-down&amp;starting-point-node-id=825:7800&amp;viewport=241,48,0.07" TargetMode="External" Id="rId24" /><Relationship Type="http://schemas.openxmlformats.org/officeDocument/2006/relationships/image" Target="media/image8.png" Id="rId32" /><Relationship Type="http://schemas.openxmlformats.org/officeDocument/2006/relationships/hyperlink" Target="http://website" TargetMode="External" Id="rId37" /><Relationship Type="http://schemas.openxmlformats.org/officeDocument/2006/relationships/image" Target="media/image14.png" Id="rId40" /><Relationship Type="http://schemas.openxmlformats.org/officeDocument/2006/relationships/image" Target="media/image19.png" Id="rId45" /><Relationship Type="http://schemas.openxmlformats.org/officeDocument/2006/relationships/hyperlink" Target="https://consumerdatastandards.gov.au/engagement/reports/reports-cx/accessibility" TargetMode="External" Id="rId53" /><Relationship Type="http://schemas.openxmlformats.org/officeDocument/2006/relationships/hyperlink" Target="https://www.legislation.gov.au/Details/C2018C00125" TargetMode="External" Id="rId58" /><Relationship Type="http://schemas.openxmlformats.org/officeDocument/2006/relationships/hyperlink" Target="https://gold.designsystemau.org/" TargetMode="External" Id="rId66" /><Relationship Type="http://schemas.openxmlformats.org/officeDocument/2006/relationships/webSettings" Target="webSettings.xml" Id="rId5" /><Relationship Type="http://schemas.openxmlformats.org/officeDocument/2006/relationships/hyperlink" Target="https://cdrpoc-dev.azurewebsites.net/" TargetMode="External" Id="rId61" /><Relationship Type="http://schemas.openxmlformats.org/officeDocument/2006/relationships/hyperlink" Target="https://www.w3.org/WAI/WCAG21/Understanding/focus-order.html" TargetMode="External" Id="rId19" /><Relationship Type="http://schemas.openxmlformats.org/officeDocument/2006/relationships/image" Target="media/image1.png" Id="rId14" /><Relationship Type="http://schemas.openxmlformats.org/officeDocument/2006/relationships/hyperlink" Target="https://www.w3.org/WAI/WCAG21/Understanding/info-and-relationships" TargetMode="External" Id="rId22" /><Relationship Type="http://schemas.openxmlformats.org/officeDocument/2006/relationships/hyperlink" Target="https://www.w3.org/WAI/fundamentals/accessibility-principles/" TargetMode="External" Id="rId27" /><Relationship Type="http://schemas.openxmlformats.org/officeDocument/2006/relationships/image" Target="media/image6.png" Id="rId30" /><Relationship Type="http://schemas.openxmlformats.org/officeDocument/2006/relationships/image" Target="media/image11.png" Id="rId35" /><Relationship Type="http://schemas.openxmlformats.org/officeDocument/2006/relationships/image" Target="media/image17.png" Id="rId43" /><Relationship Type="http://schemas.openxmlformats.org/officeDocument/2006/relationships/image" Target="media/image22.png" Id="rId48" /><Relationship Type="http://schemas.openxmlformats.org/officeDocument/2006/relationships/hyperlink" Target="https://ux.shopify.com/accessibility-and-inclusivity-in-practice-51a4af289a5b" TargetMode="External" Id="rId56" /><Relationship Type="http://schemas.openxmlformats.org/officeDocument/2006/relationships/hyperlink" Target="https://d61cds.notion.site/Consent-f245bbc5b81d40a99e21c25e04dcdf83" TargetMode="External" Id="rId64" /><Relationship Type="http://schemas.openxmlformats.org/officeDocument/2006/relationships/hyperlink" Target="https://nodejs.org/en/download/" TargetMode="External" Id="rId69" /><Relationship Type="http://schemas.openxmlformats.org/officeDocument/2006/relationships/hyperlink" Target="https://www.w3.org/WAI/WCAG21/Techniques/css/C15" TargetMode="External" Id="rId8" /><Relationship Type="http://schemas.openxmlformats.org/officeDocument/2006/relationships/image" Target="media/image25.png" Id="rId51" /><Relationship Type="http://schemas.openxmlformats.org/officeDocument/2006/relationships/fontTable" Target="fontTable.xml" Id="rId72" /><Relationship Type="http://schemas.openxmlformats.org/officeDocument/2006/relationships/styles" Target="styles.xml" Id="rId3" /><Relationship Type="http://schemas.openxmlformats.org/officeDocument/2006/relationships/hyperlink" Target="https://www.w3.org/WAI/WCAG21/Techniques/general/G130" TargetMode="External" Id="rId12" /><Relationship Type="http://schemas.openxmlformats.org/officeDocument/2006/relationships/hyperlink" Target="https://www.w3.org/WAI/WCAG21/Understanding/target-size.html" TargetMode="External" Id="rId17" /><Relationship Type="http://schemas.openxmlformats.org/officeDocument/2006/relationships/hyperlink" Target="https://www.nngroup.com/articles/ten-usability-heuristics/" TargetMode="External" Id="rId25" /><Relationship Type="http://schemas.openxmlformats.org/officeDocument/2006/relationships/image" Target="media/image9.png" Id="rId33" /><Relationship Type="http://schemas.openxmlformats.org/officeDocument/2006/relationships/image" Target="media/image12.png" Id="rId38" /><Relationship Type="http://schemas.openxmlformats.org/officeDocument/2006/relationships/image" Target="media/image20.png" Id="rId46" /><Relationship Type="http://schemas.openxmlformats.org/officeDocument/2006/relationships/hyperlink" Target="https://humanrights.gov.au/our-work/disability-rights/world-wide-web-access-disability-discrimination-act-advisory-notes-ver" TargetMode="External" Id="rId59" /><Relationship Type="http://schemas.openxmlformats.org/officeDocument/2006/relationships/hyperlink" Target="https://gold.designsystemau.org/" TargetMode="External" Id="rId67" /><Relationship Type="http://schemas.openxmlformats.org/officeDocument/2006/relationships/image" Target="media/image4.png" Id="rId20" /><Relationship Type="http://schemas.openxmlformats.org/officeDocument/2006/relationships/image" Target="media/image15.png" Id="rId41" /><Relationship Type="http://schemas.openxmlformats.org/officeDocument/2006/relationships/hyperlink" Target="https://www.ausbanking.org.au/priorities/accessibility/" TargetMode="External" Id="rId54" /><Relationship Type="http://schemas.openxmlformats.org/officeDocument/2006/relationships/hyperlink" Target="https://d61cds.notion.site/" TargetMode="External" Id="rId62" /><Relationship Type="http://schemas.openxmlformats.org/officeDocument/2006/relationships/hyperlink" Target="https://www.figma.com/proto/eD8wR1DG7iMwjOb8KkGNgJ/Consent-Flow?kind=&amp;node-id=825%3A8022&amp;page-id=825%3A7676&amp;scaling=scale-down&amp;starting-point-node-id=825%3A7800&amp;viewport=241%2C48%2C0.07" TargetMode="External" Id="rId7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w3.org/WAI/WCAG21/Understanding/focus-visible.html" TargetMode="External" Id="rId15" /><Relationship Type="http://schemas.openxmlformats.org/officeDocument/2006/relationships/hyperlink" Target="https://consumerdatastandardsaustralia.github.io/standards/" TargetMode="External" Id="rId23" /><Relationship Type="http://schemas.openxmlformats.org/officeDocument/2006/relationships/hyperlink" Target="http://www.cdr.gov.au" TargetMode="External" Id="rId28" /><Relationship Type="http://schemas.openxmlformats.org/officeDocument/2006/relationships/hyperlink" Target="https://www.cdr.gov.au/" TargetMode="External" Id="rId36" /><Relationship Type="http://schemas.openxmlformats.org/officeDocument/2006/relationships/image" Target="media/image23.png" Id="rId49" /><Relationship Type="http://schemas.openxmlformats.org/officeDocument/2006/relationships/hyperlink" Target="https://treasury.gov.au/sites/default/files/2021-02/cdrinquiry-final.pdf" TargetMode="External" Id="rId57" /><Relationship Type="http://schemas.openxmlformats.org/officeDocument/2006/relationships/hyperlink" Target="https://www.w3.org/WAI/WCAG21/Techniques/css/C15" TargetMode="External" Id="rId10" /><Relationship Type="http://schemas.openxmlformats.org/officeDocument/2006/relationships/image" Target="media/image7.png" Id="rId31" /><Relationship Type="http://schemas.openxmlformats.org/officeDocument/2006/relationships/image" Target="media/image18.png" Id="rId44" /><Relationship Type="http://schemas.openxmlformats.org/officeDocument/2006/relationships/image" Target="media/image26.png" Id="rId52" /><Relationship Type="http://schemas.openxmlformats.org/officeDocument/2006/relationships/image" Target="media/image27.png" Id="rId60" /><Relationship Type="http://schemas.openxmlformats.org/officeDocument/2006/relationships/image" Target="media/image28.png" Id="rId65" /><Relationship Type="http://schemas.openxmlformats.org/officeDocument/2006/relationships/theme" Target="theme/theme1.xml" Id="rId73" /><Relationship Type="http://schemas.openxmlformats.org/officeDocument/2006/relationships/settings" Target="settings.xml" Id="rId4" /><Relationship Type="http://schemas.openxmlformats.org/officeDocument/2006/relationships/hyperlink" Target="https://www.w3.org/WAI/WCAG21/Understanding/bypass-blocks.html" TargetMode="External" Id="rId9" /><Relationship Type="http://schemas.openxmlformats.org/officeDocument/2006/relationships/hyperlink" Target="https://www.w3.org/WAI/WCAG21/Understanding/multiple-ways.html" TargetMode="External" Id="rId13" /><Relationship Type="http://schemas.openxmlformats.org/officeDocument/2006/relationships/image" Target="media/image3.png" Id="rId18" /><Relationship Type="http://schemas.openxmlformats.org/officeDocument/2006/relationships/image" Target="media/image13.png" Id="rId39" /><Relationship Type="http://schemas.openxmlformats.org/officeDocument/2006/relationships/image" Target="media/image10.png" Id="rId34" /><Relationship Type="http://schemas.openxmlformats.org/officeDocument/2006/relationships/image" Target="media/image24.png" Id="rId50" /><Relationship Type="http://schemas.openxmlformats.org/officeDocument/2006/relationships/hyperlink" Target="https://www.microsoft.com/design/inclusive/" TargetMode="External" Id="rId55" /><Relationship Type="http://schemas.openxmlformats.org/officeDocument/2006/relationships/endnotes" Target="endnotes.xml" Id="rId7" /><Relationship Type="http://schemas.openxmlformats.org/officeDocument/2006/relationships/footer" Target="footer1.xml" Id="rId71" /></Relationships>
</file>

<file path=word/theme/theme1.xml><?xml version="1.0" encoding="utf-8"?>
<a:theme xmlns:a="http://schemas.openxmlformats.org/drawingml/2006/main" name="PwC">
  <a:themeElements>
    <a:clrScheme name="PwC Orange">
      <a:dk1>
        <a:srgbClr val="000000"/>
      </a:dk1>
      <a:lt1>
        <a:srgbClr val="FFFFFF"/>
      </a:lt1>
      <a:dk2>
        <a:srgbClr val="DC6900"/>
      </a:dk2>
      <a:lt2>
        <a:srgbClr val="FFFFFF"/>
      </a:lt2>
      <a:accent1>
        <a:srgbClr val="DC6900"/>
      </a:accent1>
      <a:accent2>
        <a:srgbClr val="FFB600"/>
      </a:accent2>
      <a:accent3>
        <a:srgbClr val="602320"/>
      </a:accent3>
      <a:accent4>
        <a:srgbClr val="E27588"/>
      </a:accent4>
      <a:accent5>
        <a:srgbClr val="A32020"/>
      </a:accent5>
      <a:accent6>
        <a:srgbClr val="E0301E"/>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indent="-274320">
          <a:spcAft>
            <a:spcPts val="900"/>
          </a:spcAft>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5F363-5C21-4C88-BC56-0816BB57E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53</Pages>
  <Words>13806</Words>
  <Characters>78695</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92317</CharactersWithSpaces>
  <SharedDoc>false</SharedDoc>
  <HLinks>
    <vt:vector size="222" baseType="variant">
      <vt:variant>
        <vt:i4>458759</vt:i4>
      </vt:variant>
      <vt:variant>
        <vt:i4>108</vt:i4>
      </vt:variant>
      <vt:variant>
        <vt:i4>0</vt:i4>
      </vt:variant>
      <vt:variant>
        <vt:i4>5</vt:i4>
      </vt:variant>
      <vt:variant>
        <vt:lpwstr>https://www.figma.com/proto/eD8wR1DG7iMwjOb8KkGNgJ/Consent-Flow?kind=&amp;node-id=825%3A8022&amp;page-id=825%3A7676&amp;scaling=scale-down&amp;starting-point-node-id=825%3A7800&amp;viewport=241%2C48%2C0.07</vt:lpwstr>
      </vt:variant>
      <vt:variant>
        <vt:lpwstr/>
      </vt:variant>
      <vt:variant>
        <vt:i4>2097187</vt:i4>
      </vt:variant>
      <vt:variant>
        <vt:i4>105</vt:i4>
      </vt:variant>
      <vt:variant>
        <vt:i4>0</vt:i4>
      </vt:variant>
      <vt:variant>
        <vt:i4>5</vt:i4>
      </vt:variant>
      <vt:variant>
        <vt:lpwstr>https://nodejs.org/en/download/</vt:lpwstr>
      </vt:variant>
      <vt:variant>
        <vt:lpwstr/>
      </vt:variant>
      <vt:variant>
        <vt:i4>2097207</vt:i4>
      </vt:variant>
      <vt:variant>
        <vt:i4>102</vt:i4>
      </vt:variant>
      <vt:variant>
        <vt:i4>0</vt:i4>
      </vt:variant>
      <vt:variant>
        <vt:i4>5</vt:i4>
      </vt:variant>
      <vt:variant>
        <vt:lpwstr>https://storybook.js.org/tutorials/intro-to-storybook/</vt:lpwstr>
      </vt:variant>
      <vt:variant>
        <vt:lpwstr/>
      </vt:variant>
      <vt:variant>
        <vt:i4>1900570</vt:i4>
      </vt:variant>
      <vt:variant>
        <vt:i4>98</vt:i4>
      </vt:variant>
      <vt:variant>
        <vt:i4>0</vt:i4>
      </vt:variant>
      <vt:variant>
        <vt:i4>5</vt:i4>
      </vt:variant>
      <vt:variant>
        <vt:lpwstr>https://gold.designsystemau.org/</vt:lpwstr>
      </vt:variant>
      <vt:variant>
        <vt:lpwstr/>
      </vt:variant>
      <vt:variant>
        <vt:i4>1900570</vt:i4>
      </vt:variant>
      <vt:variant>
        <vt:i4>96</vt:i4>
      </vt:variant>
      <vt:variant>
        <vt:i4>0</vt:i4>
      </vt:variant>
      <vt:variant>
        <vt:i4>5</vt:i4>
      </vt:variant>
      <vt:variant>
        <vt:lpwstr>https://gold.designsystemau.org/</vt:lpwstr>
      </vt:variant>
      <vt:variant>
        <vt:lpwstr/>
      </vt:variant>
      <vt:variant>
        <vt:i4>4390913</vt:i4>
      </vt:variant>
      <vt:variant>
        <vt:i4>93</vt:i4>
      </vt:variant>
      <vt:variant>
        <vt:i4>0</vt:i4>
      </vt:variant>
      <vt:variant>
        <vt:i4>5</vt:i4>
      </vt:variant>
      <vt:variant>
        <vt:lpwstr>https://www.notion.so/Authorise-a51263ba331b4ca8b3defac444c2327f</vt:lpwstr>
      </vt:variant>
      <vt:variant>
        <vt:lpwstr/>
      </vt:variant>
      <vt:variant>
        <vt:i4>6946857</vt:i4>
      </vt:variant>
      <vt:variant>
        <vt:i4>90</vt:i4>
      </vt:variant>
      <vt:variant>
        <vt:i4>0</vt:i4>
      </vt:variant>
      <vt:variant>
        <vt:i4>5</vt:i4>
      </vt:variant>
      <vt:variant>
        <vt:lpwstr>https://www.notion.so/Authenticate-d269954669354c46874d1bf63407862f</vt:lpwstr>
      </vt:variant>
      <vt:variant>
        <vt:lpwstr/>
      </vt:variant>
      <vt:variant>
        <vt:i4>8126583</vt:i4>
      </vt:variant>
      <vt:variant>
        <vt:i4>87</vt:i4>
      </vt:variant>
      <vt:variant>
        <vt:i4>0</vt:i4>
      </vt:variant>
      <vt:variant>
        <vt:i4>5</vt:i4>
      </vt:variant>
      <vt:variant>
        <vt:lpwstr>https://d61cds.notion.site/Consent-f245bbc5b81d40a99e21c25e04dcdf83</vt:lpwstr>
      </vt:variant>
      <vt:variant>
        <vt:lpwstr/>
      </vt:variant>
      <vt:variant>
        <vt:i4>458759</vt:i4>
      </vt:variant>
      <vt:variant>
        <vt:i4>84</vt:i4>
      </vt:variant>
      <vt:variant>
        <vt:i4>0</vt:i4>
      </vt:variant>
      <vt:variant>
        <vt:i4>5</vt:i4>
      </vt:variant>
      <vt:variant>
        <vt:lpwstr>https://www.figma.com/proto/eD8wR1DG7iMwjOb8KkGNgJ/Consent-Flow?kind=&amp;node-id=825%3A8022&amp;page-id=825%3A7676&amp;scaling=scale-down&amp;starting-point-node-id=825%3A7800&amp;viewport=241%2C48%2C0.07</vt:lpwstr>
      </vt:variant>
      <vt:variant>
        <vt:lpwstr/>
      </vt:variant>
      <vt:variant>
        <vt:i4>6291504</vt:i4>
      </vt:variant>
      <vt:variant>
        <vt:i4>81</vt:i4>
      </vt:variant>
      <vt:variant>
        <vt:i4>0</vt:i4>
      </vt:variant>
      <vt:variant>
        <vt:i4>5</vt:i4>
      </vt:variant>
      <vt:variant>
        <vt:lpwstr>https://d61cds.notion.site/</vt:lpwstr>
      </vt:variant>
      <vt:variant>
        <vt:lpwstr/>
      </vt:variant>
      <vt:variant>
        <vt:i4>917506</vt:i4>
      </vt:variant>
      <vt:variant>
        <vt:i4>78</vt:i4>
      </vt:variant>
      <vt:variant>
        <vt:i4>0</vt:i4>
      </vt:variant>
      <vt:variant>
        <vt:i4>5</vt:i4>
      </vt:variant>
      <vt:variant>
        <vt:lpwstr>https://cdrpoc-dev.azurewebsites.net/</vt:lpwstr>
      </vt:variant>
      <vt:variant>
        <vt:lpwstr/>
      </vt:variant>
      <vt:variant>
        <vt:i4>131141</vt:i4>
      </vt:variant>
      <vt:variant>
        <vt:i4>75</vt:i4>
      </vt:variant>
      <vt:variant>
        <vt:i4>0</vt:i4>
      </vt:variant>
      <vt:variant>
        <vt:i4>5</vt:i4>
      </vt:variant>
      <vt:variant>
        <vt:lpwstr>https://humanrights.gov.au/our-work/disability-rights/world-wide-web-access-disability-discrimination-act-advisory-notes-ver</vt:lpwstr>
      </vt:variant>
      <vt:variant>
        <vt:lpwstr>required</vt:lpwstr>
      </vt:variant>
      <vt:variant>
        <vt:i4>8126500</vt:i4>
      </vt:variant>
      <vt:variant>
        <vt:i4>72</vt:i4>
      </vt:variant>
      <vt:variant>
        <vt:i4>0</vt:i4>
      </vt:variant>
      <vt:variant>
        <vt:i4>5</vt:i4>
      </vt:variant>
      <vt:variant>
        <vt:lpwstr>https://www.legislation.gov.au/Details/C2018C00125</vt:lpwstr>
      </vt:variant>
      <vt:variant>
        <vt:lpwstr/>
      </vt:variant>
      <vt:variant>
        <vt:i4>1441868</vt:i4>
      </vt:variant>
      <vt:variant>
        <vt:i4>69</vt:i4>
      </vt:variant>
      <vt:variant>
        <vt:i4>0</vt:i4>
      </vt:variant>
      <vt:variant>
        <vt:i4>5</vt:i4>
      </vt:variant>
      <vt:variant>
        <vt:lpwstr>https://treasury.gov.au/sites/default/files/2021-02/cdrinquiry-final.pdf</vt:lpwstr>
      </vt:variant>
      <vt:variant>
        <vt:lpwstr/>
      </vt:variant>
      <vt:variant>
        <vt:i4>5963851</vt:i4>
      </vt:variant>
      <vt:variant>
        <vt:i4>66</vt:i4>
      </vt:variant>
      <vt:variant>
        <vt:i4>0</vt:i4>
      </vt:variant>
      <vt:variant>
        <vt:i4>5</vt:i4>
      </vt:variant>
      <vt:variant>
        <vt:lpwstr>https://ux.shopify.com/accessibility-and-inclusivity-in-practice-51a4af289a5b</vt:lpwstr>
      </vt:variant>
      <vt:variant>
        <vt:lpwstr/>
      </vt:variant>
      <vt:variant>
        <vt:i4>3735660</vt:i4>
      </vt:variant>
      <vt:variant>
        <vt:i4>63</vt:i4>
      </vt:variant>
      <vt:variant>
        <vt:i4>0</vt:i4>
      </vt:variant>
      <vt:variant>
        <vt:i4>5</vt:i4>
      </vt:variant>
      <vt:variant>
        <vt:lpwstr>https://www.microsoft.com/design/inclusive/</vt:lpwstr>
      </vt:variant>
      <vt:variant>
        <vt:lpwstr/>
      </vt:variant>
      <vt:variant>
        <vt:i4>7733355</vt:i4>
      </vt:variant>
      <vt:variant>
        <vt:i4>60</vt:i4>
      </vt:variant>
      <vt:variant>
        <vt:i4>0</vt:i4>
      </vt:variant>
      <vt:variant>
        <vt:i4>5</vt:i4>
      </vt:variant>
      <vt:variant>
        <vt:lpwstr>https://www.ausbanking.org.au/priorities/accessibility/</vt:lpwstr>
      </vt:variant>
      <vt:variant>
        <vt:lpwstr/>
      </vt:variant>
      <vt:variant>
        <vt:i4>4522077</vt:i4>
      </vt:variant>
      <vt:variant>
        <vt:i4>57</vt:i4>
      </vt:variant>
      <vt:variant>
        <vt:i4>0</vt:i4>
      </vt:variant>
      <vt:variant>
        <vt:i4>5</vt:i4>
      </vt:variant>
      <vt:variant>
        <vt:lpwstr>https://consumerdatastandards.gov.au/engagement/reports/reports-cx/accessibility</vt:lpwstr>
      </vt:variant>
      <vt:variant>
        <vt:lpwstr/>
      </vt:variant>
      <vt:variant>
        <vt:i4>3276907</vt:i4>
      </vt:variant>
      <vt:variant>
        <vt:i4>53</vt:i4>
      </vt:variant>
      <vt:variant>
        <vt:i4>0</vt:i4>
      </vt:variant>
      <vt:variant>
        <vt:i4>5</vt:i4>
      </vt:variant>
      <vt:variant>
        <vt:lpwstr>http://website/</vt:lpwstr>
      </vt:variant>
      <vt:variant>
        <vt:lpwstr/>
      </vt:variant>
      <vt:variant>
        <vt:i4>3538977</vt:i4>
      </vt:variant>
      <vt:variant>
        <vt:i4>51</vt:i4>
      </vt:variant>
      <vt:variant>
        <vt:i4>0</vt:i4>
      </vt:variant>
      <vt:variant>
        <vt:i4>5</vt:i4>
      </vt:variant>
      <vt:variant>
        <vt:lpwstr>https://www.cdr.gov.au/</vt:lpwstr>
      </vt:variant>
      <vt:variant>
        <vt:lpwstr/>
      </vt:variant>
      <vt:variant>
        <vt:i4>6619182</vt:i4>
      </vt:variant>
      <vt:variant>
        <vt:i4>48</vt:i4>
      </vt:variant>
      <vt:variant>
        <vt:i4>0</vt:i4>
      </vt:variant>
      <vt:variant>
        <vt:i4>5</vt:i4>
      </vt:variant>
      <vt:variant>
        <vt:lpwstr>http://www.cdr.gov.au/</vt:lpwstr>
      </vt:variant>
      <vt:variant>
        <vt:lpwstr/>
      </vt:variant>
      <vt:variant>
        <vt:i4>1966084</vt:i4>
      </vt:variant>
      <vt:variant>
        <vt:i4>45</vt:i4>
      </vt:variant>
      <vt:variant>
        <vt:i4>0</vt:i4>
      </vt:variant>
      <vt:variant>
        <vt:i4>5</vt:i4>
      </vt:variant>
      <vt:variant>
        <vt:lpwstr>https://www.w3.org/WAI/fundamentals/accessibility-principles/</vt:lpwstr>
      </vt:variant>
      <vt:variant>
        <vt:lpwstr/>
      </vt:variant>
      <vt:variant>
        <vt:i4>4522057</vt:i4>
      </vt:variant>
      <vt:variant>
        <vt:i4>42</vt:i4>
      </vt:variant>
      <vt:variant>
        <vt:i4>0</vt:i4>
      </vt:variant>
      <vt:variant>
        <vt:i4>5</vt:i4>
      </vt:variant>
      <vt:variant>
        <vt:lpwstr>https://centreforinclusivedesign.org.au/index.php/resources/inclusive-design/</vt:lpwstr>
      </vt:variant>
      <vt:variant>
        <vt:lpwstr/>
      </vt:variant>
      <vt:variant>
        <vt:i4>7340150</vt:i4>
      </vt:variant>
      <vt:variant>
        <vt:i4>39</vt:i4>
      </vt:variant>
      <vt:variant>
        <vt:i4>0</vt:i4>
      </vt:variant>
      <vt:variant>
        <vt:i4>5</vt:i4>
      </vt:variant>
      <vt:variant>
        <vt:lpwstr>https://www.nngroup.com/articles/ten-usability-heuristics/</vt:lpwstr>
      </vt:variant>
      <vt:variant>
        <vt:lpwstr/>
      </vt:variant>
      <vt:variant>
        <vt:i4>3407927</vt:i4>
      </vt:variant>
      <vt:variant>
        <vt:i4>36</vt:i4>
      </vt:variant>
      <vt:variant>
        <vt:i4>0</vt:i4>
      </vt:variant>
      <vt:variant>
        <vt:i4>5</vt:i4>
      </vt:variant>
      <vt:variant>
        <vt:lpwstr>https://www.figma.com/proto/eD8wR1DG7iMwjOb8KkGNgJ?kind=&amp;node-id=825:7800&amp;page-id=825:7676&amp;scaling=scale-down&amp;starting-point-node-id=825:7800&amp;viewport=241,48,0.07</vt:lpwstr>
      </vt:variant>
      <vt:variant>
        <vt:lpwstr/>
      </vt:variant>
      <vt:variant>
        <vt:i4>5373965</vt:i4>
      </vt:variant>
      <vt:variant>
        <vt:i4>33</vt:i4>
      </vt:variant>
      <vt:variant>
        <vt:i4>0</vt:i4>
      </vt:variant>
      <vt:variant>
        <vt:i4>5</vt:i4>
      </vt:variant>
      <vt:variant>
        <vt:lpwstr>https://consumerdatastandardsaustralia.github.io/standards/</vt:lpwstr>
      </vt:variant>
      <vt:variant>
        <vt:lpwstr>consumer-experience</vt:lpwstr>
      </vt:variant>
      <vt:variant>
        <vt:i4>4980802</vt:i4>
      </vt:variant>
      <vt:variant>
        <vt:i4>30</vt:i4>
      </vt:variant>
      <vt:variant>
        <vt:i4>0</vt:i4>
      </vt:variant>
      <vt:variant>
        <vt:i4>5</vt:i4>
      </vt:variant>
      <vt:variant>
        <vt:lpwstr>https://www.w3.org/WAI/WCAG21/Understanding/focus-order.html</vt:lpwstr>
      </vt:variant>
      <vt:variant>
        <vt:lpwstr/>
      </vt:variant>
      <vt:variant>
        <vt:i4>1507343</vt:i4>
      </vt:variant>
      <vt:variant>
        <vt:i4>27</vt:i4>
      </vt:variant>
      <vt:variant>
        <vt:i4>0</vt:i4>
      </vt:variant>
      <vt:variant>
        <vt:i4>5</vt:i4>
      </vt:variant>
      <vt:variant>
        <vt:lpwstr>https://www.w3.org/WAI/WCAG21/Understanding/target-size.html</vt:lpwstr>
      </vt:variant>
      <vt:variant>
        <vt:lpwstr/>
      </vt:variant>
      <vt:variant>
        <vt:i4>3276850</vt:i4>
      </vt:variant>
      <vt:variant>
        <vt:i4>24</vt:i4>
      </vt:variant>
      <vt:variant>
        <vt:i4>0</vt:i4>
      </vt:variant>
      <vt:variant>
        <vt:i4>5</vt:i4>
      </vt:variant>
      <vt:variant>
        <vt:lpwstr>https://www.w3.org/WAI/WCAG21/Understanding/info-and-relationships</vt:lpwstr>
      </vt:variant>
      <vt:variant>
        <vt:lpwstr/>
      </vt:variant>
      <vt:variant>
        <vt:i4>5374030</vt:i4>
      </vt:variant>
      <vt:variant>
        <vt:i4>21</vt:i4>
      </vt:variant>
      <vt:variant>
        <vt:i4>0</vt:i4>
      </vt:variant>
      <vt:variant>
        <vt:i4>5</vt:i4>
      </vt:variant>
      <vt:variant>
        <vt:lpwstr>https://www.w3.org/WAI/WCAG21/Understanding/text-spacing.html</vt:lpwstr>
      </vt:variant>
      <vt:variant>
        <vt:lpwstr/>
      </vt:variant>
      <vt:variant>
        <vt:i4>3604537</vt:i4>
      </vt:variant>
      <vt:variant>
        <vt:i4>18</vt:i4>
      </vt:variant>
      <vt:variant>
        <vt:i4>0</vt:i4>
      </vt:variant>
      <vt:variant>
        <vt:i4>5</vt:i4>
      </vt:variant>
      <vt:variant>
        <vt:lpwstr>https://www.w3.org/WAI/WCAG21/Understanding/focus-visible.html</vt:lpwstr>
      </vt:variant>
      <vt:variant>
        <vt:lpwstr/>
      </vt:variant>
      <vt:variant>
        <vt:i4>7733366</vt:i4>
      </vt:variant>
      <vt:variant>
        <vt:i4>15</vt:i4>
      </vt:variant>
      <vt:variant>
        <vt:i4>0</vt:i4>
      </vt:variant>
      <vt:variant>
        <vt:i4>5</vt:i4>
      </vt:variant>
      <vt:variant>
        <vt:lpwstr>https://www.w3.org/WAI/WCAG21/Understanding/multiple-ways.html</vt:lpwstr>
      </vt:variant>
      <vt:variant>
        <vt:lpwstr/>
      </vt:variant>
      <vt:variant>
        <vt:i4>4653058</vt:i4>
      </vt:variant>
      <vt:variant>
        <vt:i4>12</vt:i4>
      </vt:variant>
      <vt:variant>
        <vt:i4>0</vt:i4>
      </vt:variant>
      <vt:variant>
        <vt:i4>5</vt:i4>
      </vt:variant>
      <vt:variant>
        <vt:lpwstr>https://www.w3.org/WAI/WCAG21/Techniques/general/G130</vt:lpwstr>
      </vt:variant>
      <vt:variant>
        <vt:lpwstr/>
      </vt:variant>
      <vt:variant>
        <vt:i4>851990</vt:i4>
      </vt:variant>
      <vt:variant>
        <vt:i4>9</vt:i4>
      </vt:variant>
      <vt:variant>
        <vt:i4>0</vt:i4>
      </vt:variant>
      <vt:variant>
        <vt:i4>5</vt:i4>
      </vt:variant>
      <vt:variant>
        <vt:lpwstr>https://www.w3.org/WAI/WCAG21/Understanding/page-titled.html</vt:lpwstr>
      </vt:variant>
      <vt:variant>
        <vt:lpwstr/>
      </vt:variant>
      <vt:variant>
        <vt:i4>4325392</vt:i4>
      </vt:variant>
      <vt:variant>
        <vt:i4>6</vt:i4>
      </vt:variant>
      <vt:variant>
        <vt:i4>0</vt:i4>
      </vt:variant>
      <vt:variant>
        <vt:i4>5</vt:i4>
      </vt:variant>
      <vt:variant>
        <vt:lpwstr>https://www.w3.org/WAI/WCAG21/Techniques/css/C15</vt:lpwstr>
      </vt:variant>
      <vt:variant>
        <vt:lpwstr/>
      </vt:variant>
      <vt:variant>
        <vt:i4>6357117</vt:i4>
      </vt:variant>
      <vt:variant>
        <vt:i4>3</vt:i4>
      </vt:variant>
      <vt:variant>
        <vt:i4>0</vt:i4>
      </vt:variant>
      <vt:variant>
        <vt:i4>5</vt:i4>
      </vt:variant>
      <vt:variant>
        <vt:lpwstr>https://www.w3.org/WAI/WCAG21/Understanding/bypass-blocks.html</vt:lpwstr>
      </vt:variant>
      <vt:variant>
        <vt:lpwstr/>
      </vt:variant>
      <vt:variant>
        <vt:i4>4325392</vt:i4>
      </vt:variant>
      <vt:variant>
        <vt:i4>0</vt:i4>
      </vt:variant>
      <vt:variant>
        <vt:i4>0</vt:i4>
      </vt:variant>
      <vt:variant>
        <vt:i4>5</vt:i4>
      </vt:variant>
      <vt:variant>
        <vt:lpwstr>https://www.w3.org/WAI/WCAG21/Techniques/css/C15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Tyrell Kamira Sams (AU)</dc:creator>
  <cp:keywords/>
  <dc:description/>
  <cp:lastModifiedBy>Yana Burton (AU)</cp:lastModifiedBy>
  <cp:revision>97</cp:revision>
  <dcterms:created xsi:type="dcterms:W3CDTF">2022-10-06T17:48:00Z</dcterms:created>
  <dcterms:modified xsi:type="dcterms:W3CDTF">2022-10-06T21:59:00Z</dcterms:modified>
</cp:coreProperties>
</file>