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99" w:rsidRPr="005E4291" w:rsidRDefault="007E5299" w:rsidP="006A162C">
      <w:pPr>
        <w:pStyle w:val="Heading1"/>
        <w:spacing w:before="0"/>
        <w:rPr>
          <w:i/>
        </w:rPr>
      </w:pPr>
      <w:r w:rsidRPr="00BC328F">
        <w:rPr>
          <w:b/>
          <w:noProof/>
          <w:color w:val="FF0000"/>
        </w:rPr>
        <w:t xml:space="preserve">May 2019 </w:t>
      </w:r>
      <w:r w:rsidR="003342C3">
        <w:rPr>
          <w:b/>
          <w:noProof/>
          <w:color w:val="FF0000"/>
        </w:rPr>
        <w:t>Updated Draft Standards</w:t>
      </w:r>
    </w:p>
    <w:p w:rsidR="009739AE" w:rsidRDefault="009739AE" w:rsidP="007E5299">
      <w:pPr>
        <w:pStyle w:val="BodyText"/>
        <w:rPr>
          <w:i/>
        </w:rPr>
      </w:pPr>
    </w:p>
    <w:p w:rsidR="007E5299" w:rsidRPr="00AD6AC6" w:rsidRDefault="007E5299" w:rsidP="007E5299">
      <w:pPr>
        <w:pStyle w:val="BodyText"/>
        <w:rPr>
          <w:i/>
        </w:rPr>
      </w:pPr>
      <w:r>
        <w:rPr>
          <w:i/>
        </w:rPr>
        <w:t>3</w:t>
      </w:r>
      <w:r w:rsidR="00506142">
        <w:rPr>
          <w:i/>
        </w:rPr>
        <w:t>1</w:t>
      </w:r>
      <w:r>
        <w:rPr>
          <w:i/>
        </w:rPr>
        <w:t xml:space="preserve"> May, 2019</w:t>
      </w:r>
    </w:p>
    <w:p w:rsidR="007E5299" w:rsidRPr="009B3000" w:rsidRDefault="007E5299" w:rsidP="007E5299">
      <w:pPr>
        <w:rPr>
          <w:sz w:val="24"/>
        </w:rPr>
      </w:pPr>
    </w:p>
    <w:p w:rsidR="007E5299" w:rsidRPr="005E0248" w:rsidRDefault="007E5299" w:rsidP="007E5299">
      <w:pPr>
        <w:rPr>
          <w:rFonts w:ascii="Times New Roman" w:hAnsi="Times New Roman"/>
        </w:rPr>
      </w:pPr>
      <w:r w:rsidRPr="00984FEF">
        <w:rPr>
          <w:sz w:val="24"/>
          <w:szCs w:val="24"/>
        </w:rPr>
        <w:t xml:space="preserve">Since the previous release of the draft Consumer Data Standards </w:t>
      </w:r>
      <w:r w:rsidR="00757763" w:rsidRPr="00984FEF">
        <w:rPr>
          <w:rFonts w:eastAsia="Times New Roman"/>
          <w:sz w:val="24"/>
          <w:szCs w:val="24"/>
          <w:lang w:eastAsia="en-AU"/>
        </w:rPr>
        <w:t xml:space="preserve">(CDS), developed by </w:t>
      </w:r>
      <w:r w:rsidR="00100A4C">
        <w:rPr>
          <w:rFonts w:eastAsia="Times New Roman"/>
          <w:sz w:val="24"/>
          <w:szCs w:val="24"/>
          <w:lang w:eastAsia="en-AU"/>
        </w:rPr>
        <w:t xml:space="preserve">CSIRO’s </w:t>
      </w:r>
      <w:r w:rsidR="00757763" w:rsidRPr="00984FEF">
        <w:rPr>
          <w:rFonts w:eastAsia="Times New Roman"/>
          <w:sz w:val="24"/>
          <w:szCs w:val="24"/>
          <w:lang w:eastAsia="en-AU"/>
        </w:rPr>
        <w:t>Data61 for the Data Standards Body, the CDS</w:t>
      </w:r>
      <w:r w:rsidR="00757763" w:rsidRPr="00984FEF">
        <w:rPr>
          <w:sz w:val="24"/>
          <w:szCs w:val="24"/>
        </w:rPr>
        <w:t xml:space="preserve"> </w:t>
      </w:r>
      <w:r w:rsidRPr="00984FEF">
        <w:rPr>
          <w:sz w:val="24"/>
          <w:szCs w:val="24"/>
        </w:rPr>
        <w:t>team has liaise</w:t>
      </w:r>
      <w:r w:rsidR="00666244">
        <w:rPr>
          <w:sz w:val="24"/>
          <w:szCs w:val="24"/>
        </w:rPr>
        <w:t>d</w:t>
      </w:r>
      <w:r w:rsidRPr="00984FEF">
        <w:rPr>
          <w:sz w:val="24"/>
          <w:szCs w:val="24"/>
        </w:rPr>
        <w:t xml:space="preserve"> with the broader eco-system participants to develop and refine common technical standards in support of the Australian Government’s Consumer Data Right </w:t>
      </w:r>
      <w:r w:rsidR="00B25915">
        <w:rPr>
          <w:sz w:val="24"/>
          <w:szCs w:val="24"/>
        </w:rPr>
        <w:t>r</w:t>
      </w:r>
      <w:r w:rsidRPr="00506142">
        <w:rPr>
          <w:sz w:val="24"/>
          <w:szCs w:val="24"/>
        </w:rPr>
        <w:t>egime</w:t>
      </w:r>
      <w:r w:rsidRPr="009B3000">
        <w:rPr>
          <w:sz w:val="24"/>
        </w:rPr>
        <w:t xml:space="preserve">. </w:t>
      </w:r>
      <w:r w:rsidR="00757763" w:rsidRPr="00506142">
        <w:rPr>
          <w:rFonts w:eastAsia="Times New Roman"/>
          <w:sz w:val="24"/>
          <w:szCs w:val="24"/>
          <w:lang w:eastAsia="en-AU"/>
        </w:rPr>
        <w:t>These</w:t>
      </w:r>
      <w:r w:rsidRPr="00506142">
        <w:rPr>
          <w:sz w:val="24"/>
          <w:szCs w:val="24"/>
        </w:rPr>
        <w:t xml:space="preserve"> draft standards are intended to make it easier and safer for consumers to access</w:t>
      </w:r>
      <w:r w:rsidRPr="009B3000">
        <w:rPr>
          <w:sz w:val="24"/>
        </w:rPr>
        <w:t xml:space="preserve"> data collected about them by businesses, and – with their explicit approval </w:t>
      </w:r>
      <w:r w:rsidRPr="00506142">
        <w:rPr>
          <w:sz w:val="24"/>
          <w:szCs w:val="24"/>
        </w:rPr>
        <w:t xml:space="preserve">– </w:t>
      </w:r>
      <w:r w:rsidR="00584C45">
        <w:rPr>
          <w:sz w:val="24"/>
          <w:szCs w:val="24"/>
        </w:rPr>
        <w:t xml:space="preserve">to </w:t>
      </w:r>
      <w:r w:rsidRPr="00506142">
        <w:rPr>
          <w:sz w:val="24"/>
          <w:szCs w:val="24"/>
        </w:rPr>
        <w:t>share this data via application programming interfaces (APIs) with trusted, accredited third parties</w:t>
      </w:r>
      <w:r w:rsidR="00757763" w:rsidRPr="008D2C0C">
        <w:rPr>
          <w:rFonts w:eastAsia="Times New Roman"/>
          <w:szCs w:val="24"/>
          <w:lang w:eastAsia="en-AU"/>
        </w:rPr>
        <w:t>.</w:t>
      </w:r>
    </w:p>
    <w:p w:rsidR="007E5299" w:rsidRPr="009B3000" w:rsidRDefault="007E5299" w:rsidP="007E5299">
      <w:pPr>
        <w:rPr>
          <w:rFonts w:ascii="Times New Roman" w:hAnsi="Times New Roman"/>
          <w:sz w:val="24"/>
        </w:rPr>
      </w:pPr>
    </w:p>
    <w:p w:rsidR="007E5299" w:rsidRPr="00506142" w:rsidRDefault="007E5299" w:rsidP="007E5299">
      <w:pPr>
        <w:rPr>
          <w:sz w:val="24"/>
          <w:szCs w:val="24"/>
        </w:rPr>
      </w:pPr>
      <w:r w:rsidRPr="00506142">
        <w:rPr>
          <w:sz w:val="24"/>
          <w:szCs w:val="24"/>
        </w:rPr>
        <w:t>In this May 2019</w:t>
      </w:r>
      <w:r w:rsidR="0016008F" w:rsidRPr="00506142">
        <w:rPr>
          <w:sz w:val="24"/>
          <w:szCs w:val="24"/>
        </w:rPr>
        <w:t xml:space="preserve"> </w:t>
      </w:r>
      <w:r w:rsidRPr="00506142">
        <w:rPr>
          <w:sz w:val="24"/>
          <w:szCs w:val="24"/>
        </w:rPr>
        <w:t>draft</w:t>
      </w:r>
      <w:r w:rsidR="00584C45">
        <w:rPr>
          <w:sz w:val="24"/>
          <w:szCs w:val="24"/>
        </w:rPr>
        <w:t xml:space="preserve"> update</w:t>
      </w:r>
      <w:r w:rsidR="0016008F" w:rsidRPr="00506142">
        <w:rPr>
          <w:sz w:val="24"/>
          <w:szCs w:val="24"/>
        </w:rPr>
        <w:t xml:space="preserve"> of the CDS</w:t>
      </w:r>
      <w:r w:rsidRPr="00506142">
        <w:rPr>
          <w:sz w:val="24"/>
          <w:szCs w:val="24"/>
        </w:rPr>
        <w:t xml:space="preserve">, </w:t>
      </w:r>
      <w:r w:rsidR="00757763" w:rsidRPr="00506142">
        <w:rPr>
          <w:rFonts w:eastAsia="Times New Roman"/>
          <w:sz w:val="24"/>
          <w:szCs w:val="24"/>
          <w:lang w:eastAsia="en-AU"/>
        </w:rPr>
        <w:t>we are</w:t>
      </w:r>
      <w:r w:rsidRPr="00506142">
        <w:rPr>
          <w:sz w:val="24"/>
          <w:szCs w:val="24"/>
        </w:rPr>
        <w:t xml:space="preserve"> summarising the progress </w:t>
      </w:r>
      <w:r w:rsidR="00757763" w:rsidRPr="00506142">
        <w:rPr>
          <w:rFonts w:eastAsia="Times New Roman"/>
          <w:sz w:val="24"/>
          <w:szCs w:val="24"/>
          <w:lang w:eastAsia="en-AU"/>
        </w:rPr>
        <w:t>we have</w:t>
      </w:r>
      <w:r w:rsidRPr="00506142">
        <w:rPr>
          <w:sz w:val="24"/>
          <w:szCs w:val="24"/>
        </w:rPr>
        <w:t xml:space="preserve"> made so far, highlighting amendments included since the Christmas draft and drawing attention to documents and deliverables organisations should review again across the work streams. A</w:t>
      </w:r>
      <w:r w:rsidR="0016008F" w:rsidRPr="00506142">
        <w:rPr>
          <w:sz w:val="24"/>
          <w:szCs w:val="24"/>
        </w:rPr>
        <w:t>t</w:t>
      </w:r>
      <w:r w:rsidRPr="00506142">
        <w:rPr>
          <w:sz w:val="24"/>
          <w:szCs w:val="24"/>
        </w:rPr>
        <w:t xml:space="preserve"> the</w:t>
      </w:r>
      <w:r w:rsidR="00506142">
        <w:rPr>
          <w:sz w:val="24"/>
          <w:szCs w:val="24"/>
        </w:rPr>
        <w:t xml:space="preserve"> </w:t>
      </w:r>
      <w:r w:rsidR="0016008F" w:rsidRPr="00506142">
        <w:rPr>
          <w:sz w:val="24"/>
          <w:szCs w:val="24"/>
        </w:rPr>
        <w:t>conclusion of the</w:t>
      </w:r>
      <w:r w:rsidRPr="00506142">
        <w:rPr>
          <w:sz w:val="24"/>
          <w:szCs w:val="24"/>
        </w:rPr>
        <w:t xml:space="preserve"> consultation phase follow</w:t>
      </w:r>
      <w:r w:rsidR="00506142">
        <w:rPr>
          <w:sz w:val="24"/>
          <w:szCs w:val="24"/>
        </w:rPr>
        <w:t>ing</w:t>
      </w:r>
      <w:r w:rsidRPr="00506142">
        <w:rPr>
          <w:sz w:val="24"/>
          <w:szCs w:val="24"/>
        </w:rPr>
        <w:t xml:space="preserve"> this release we </w:t>
      </w:r>
      <w:r w:rsidR="0016008F" w:rsidRPr="00506142">
        <w:rPr>
          <w:sz w:val="24"/>
          <w:szCs w:val="24"/>
        </w:rPr>
        <w:t>aim to deliver a stable</w:t>
      </w:r>
      <w:r w:rsidRPr="00506142">
        <w:rPr>
          <w:sz w:val="24"/>
          <w:szCs w:val="24"/>
        </w:rPr>
        <w:t xml:space="preserve"> version</w:t>
      </w:r>
      <w:r w:rsidR="0016008F" w:rsidRPr="00506142">
        <w:rPr>
          <w:sz w:val="24"/>
          <w:szCs w:val="24"/>
        </w:rPr>
        <w:t xml:space="preserve"> of the </w:t>
      </w:r>
      <w:r w:rsidR="00506142">
        <w:rPr>
          <w:rFonts w:eastAsia="Times New Roman"/>
          <w:sz w:val="24"/>
          <w:szCs w:val="24"/>
        </w:rPr>
        <w:t xml:space="preserve">standards, </w:t>
      </w:r>
      <w:r w:rsidR="0016008F" w:rsidRPr="00506142">
        <w:rPr>
          <w:sz w:val="24"/>
          <w:szCs w:val="24"/>
        </w:rPr>
        <w:t>suitable for</w:t>
      </w:r>
      <w:r w:rsidRPr="00506142">
        <w:rPr>
          <w:sz w:val="24"/>
          <w:szCs w:val="24"/>
        </w:rPr>
        <w:t xml:space="preserve"> pilot testing </w:t>
      </w:r>
      <w:r w:rsidR="0016008F" w:rsidRPr="00506142">
        <w:rPr>
          <w:sz w:val="24"/>
          <w:szCs w:val="24"/>
        </w:rPr>
        <w:t xml:space="preserve">the </w:t>
      </w:r>
      <w:r w:rsidR="00307EF3" w:rsidRPr="00506142">
        <w:rPr>
          <w:rFonts w:eastAsia="Times New Roman"/>
          <w:sz w:val="24"/>
          <w:szCs w:val="24"/>
        </w:rPr>
        <w:t>initial C</w:t>
      </w:r>
      <w:r w:rsidR="005E4291" w:rsidRPr="00506142">
        <w:rPr>
          <w:rFonts w:eastAsia="Times New Roman"/>
          <w:sz w:val="24"/>
          <w:szCs w:val="24"/>
        </w:rPr>
        <w:t xml:space="preserve">onsumer </w:t>
      </w:r>
      <w:r w:rsidR="00307EF3" w:rsidRPr="00506142">
        <w:rPr>
          <w:rFonts w:eastAsia="Times New Roman"/>
          <w:sz w:val="24"/>
          <w:szCs w:val="24"/>
        </w:rPr>
        <w:t>D</w:t>
      </w:r>
      <w:r w:rsidR="005E4291" w:rsidRPr="00506142">
        <w:rPr>
          <w:rFonts w:eastAsia="Times New Roman"/>
          <w:sz w:val="24"/>
          <w:szCs w:val="24"/>
        </w:rPr>
        <w:t xml:space="preserve">ata </w:t>
      </w:r>
      <w:r w:rsidR="00307EF3" w:rsidRPr="00506142">
        <w:rPr>
          <w:rFonts w:eastAsia="Times New Roman"/>
          <w:sz w:val="24"/>
          <w:szCs w:val="24"/>
        </w:rPr>
        <w:t>R</w:t>
      </w:r>
      <w:r w:rsidR="005E4291" w:rsidRPr="00506142">
        <w:rPr>
          <w:rFonts w:eastAsia="Times New Roman"/>
          <w:sz w:val="24"/>
          <w:szCs w:val="24"/>
        </w:rPr>
        <w:t>ight (CDR)</w:t>
      </w:r>
      <w:r w:rsidR="00307EF3" w:rsidRPr="00506142">
        <w:rPr>
          <w:rFonts w:eastAsia="Times New Roman"/>
          <w:sz w:val="24"/>
          <w:szCs w:val="24"/>
        </w:rPr>
        <w:t xml:space="preserve"> implementation</w:t>
      </w:r>
      <w:r w:rsidRPr="00506142">
        <w:rPr>
          <w:sz w:val="24"/>
          <w:szCs w:val="24"/>
        </w:rPr>
        <w:t>.</w:t>
      </w:r>
    </w:p>
    <w:p w:rsidR="007E5299" w:rsidRPr="00506142" w:rsidRDefault="007E5299" w:rsidP="007E5299">
      <w:pPr>
        <w:rPr>
          <w:sz w:val="24"/>
          <w:szCs w:val="24"/>
        </w:rPr>
      </w:pPr>
    </w:p>
    <w:p w:rsidR="00501A5A" w:rsidRPr="00506142" w:rsidRDefault="007E5299" w:rsidP="007E5299">
      <w:pPr>
        <w:rPr>
          <w:sz w:val="24"/>
          <w:szCs w:val="24"/>
        </w:rPr>
      </w:pPr>
      <w:r w:rsidRPr="009B3000">
        <w:rPr>
          <w:sz w:val="24"/>
        </w:rPr>
        <w:t xml:space="preserve">We know that many in the community have </w:t>
      </w:r>
      <w:r w:rsidRPr="005E4291">
        <w:rPr>
          <w:sz w:val="24"/>
        </w:rPr>
        <w:t xml:space="preserve">been </w:t>
      </w:r>
      <w:r w:rsidR="0016008F" w:rsidRPr="005E4291">
        <w:rPr>
          <w:sz w:val="24"/>
        </w:rPr>
        <w:t>monitoring</w:t>
      </w:r>
      <w:r w:rsidRPr="005E4291">
        <w:rPr>
          <w:sz w:val="24"/>
        </w:rPr>
        <w:t xml:space="preserve"> the discussions </w:t>
      </w:r>
      <w:r w:rsidR="00501A5A" w:rsidRPr="005E4291">
        <w:rPr>
          <w:sz w:val="24"/>
        </w:rPr>
        <w:t xml:space="preserve">relating to the draft CDS </w:t>
      </w:r>
      <w:r w:rsidRPr="005E4291">
        <w:rPr>
          <w:sz w:val="24"/>
        </w:rPr>
        <w:t xml:space="preserve">and have actively contributed feedback in workshops, on GitHub, via email and in </w:t>
      </w:r>
      <w:r w:rsidRPr="009B3000">
        <w:rPr>
          <w:sz w:val="24"/>
        </w:rPr>
        <w:t xml:space="preserve">bilateral discussions. </w:t>
      </w:r>
      <w:r w:rsidR="00757763" w:rsidRPr="005E0248">
        <w:rPr>
          <w:rFonts w:eastAsia="Times New Roman"/>
          <w:sz w:val="24"/>
          <w:szCs w:val="24"/>
          <w:lang w:eastAsia="en-AU"/>
        </w:rPr>
        <w:t xml:space="preserve">We thank the CDR community for </w:t>
      </w:r>
      <w:r w:rsidR="00CD7A49">
        <w:rPr>
          <w:rFonts w:eastAsia="Times New Roman"/>
          <w:sz w:val="24"/>
          <w:szCs w:val="24"/>
          <w:lang w:eastAsia="en-AU"/>
        </w:rPr>
        <w:t>your</w:t>
      </w:r>
      <w:r w:rsidR="00757763" w:rsidRPr="005E0248">
        <w:rPr>
          <w:rFonts w:eastAsia="Times New Roman"/>
          <w:sz w:val="24"/>
          <w:szCs w:val="24"/>
          <w:lang w:eastAsia="en-AU"/>
        </w:rPr>
        <w:t xml:space="preserve"> active participation which </w:t>
      </w:r>
      <w:r w:rsidR="00757763" w:rsidRPr="005E0248">
        <w:rPr>
          <w:rFonts w:eastAsia="Times New Roman"/>
          <w:sz w:val="24"/>
          <w:szCs w:val="24"/>
        </w:rPr>
        <w:t>ha</w:t>
      </w:r>
      <w:r w:rsidR="00CD7A49">
        <w:rPr>
          <w:rFonts w:eastAsia="Times New Roman"/>
          <w:sz w:val="24"/>
          <w:szCs w:val="24"/>
        </w:rPr>
        <w:t>s</w:t>
      </w:r>
      <w:r w:rsidR="00501A5A" w:rsidRPr="005E0248">
        <w:rPr>
          <w:sz w:val="24"/>
          <w:szCs w:val="24"/>
        </w:rPr>
        <w:t xml:space="preserve"> helped </w:t>
      </w:r>
      <w:r w:rsidR="00757763" w:rsidRPr="005E0248">
        <w:rPr>
          <w:rFonts w:eastAsia="Times New Roman"/>
          <w:sz w:val="24"/>
          <w:szCs w:val="24"/>
        </w:rPr>
        <w:t xml:space="preserve">develop these </w:t>
      </w:r>
      <w:r w:rsidR="00501A5A" w:rsidRPr="005E0248">
        <w:rPr>
          <w:sz w:val="24"/>
          <w:szCs w:val="24"/>
        </w:rPr>
        <w:t xml:space="preserve">draft </w:t>
      </w:r>
      <w:r w:rsidR="00757763" w:rsidRPr="005E0248">
        <w:rPr>
          <w:rFonts w:eastAsia="Times New Roman"/>
          <w:sz w:val="24"/>
          <w:szCs w:val="24"/>
        </w:rPr>
        <w:t>standards</w:t>
      </w:r>
      <w:r w:rsidR="00501A5A" w:rsidRPr="005E0248">
        <w:rPr>
          <w:sz w:val="24"/>
          <w:szCs w:val="24"/>
        </w:rPr>
        <w:t xml:space="preserve"> and </w:t>
      </w:r>
      <w:r w:rsidR="00757763" w:rsidRPr="005E0248">
        <w:rPr>
          <w:rFonts w:eastAsia="Times New Roman"/>
          <w:sz w:val="24"/>
          <w:szCs w:val="24"/>
        </w:rPr>
        <w:t xml:space="preserve">encourage everyone to continue to help </w:t>
      </w:r>
      <w:r w:rsidR="00757763" w:rsidRPr="005E0248">
        <w:rPr>
          <w:rFonts w:eastAsia="Times New Roman"/>
          <w:sz w:val="24"/>
          <w:szCs w:val="24"/>
          <w:lang w:eastAsia="en-AU"/>
        </w:rPr>
        <w:t>evolve these as living standards to serve the future CDR regime.</w:t>
      </w:r>
    </w:p>
    <w:p w:rsidR="00501A5A" w:rsidRPr="009B3000" w:rsidRDefault="00501A5A" w:rsidP="007E5299">
      <w:pPr>
        <w:rPr>
          <w:sz w:val="24"/>
        </w:rPr>
      </w:pPr>
    </w:p>
    <w:p w:rsidR="007E5299" w:rsidRPr="005E4291" w:rsidRDefault="00CD7A49" w:rsidP="007E5299">
      <w:pPr>
        <w:rPr>
          <w:sz w:val="24"/>
        </w:rPr>
      </w:pPr>
      <w:r>
        <w:rPr>
          <w:sz w:val="24"/>
        </w:rPr>
        <w:t>W</w:t>
      </w:r>
      <w:r w:rsidR="00501A5A" w:rsidRPr="009B3000">
        <w:rPr>
          <w:sz w:val="24"/>
        </w:rPr>
        <w:t>e invite you</w:t>
      </w:r>
      <w:r w:rsidR="005E4291">
        <w:rPr>
          <w:sz w:val="24"/>
        </w:rPr>
        <w:t xml:space="preserve">, </w:t>
      </w:r>
      <w:r>
        <w:rPr>
          <w:sz w:val="24"/>
        </w:rPr>
        <w:t>as an interested participant</w:t>
      </w:r>
      <w:r w:rsidR="005E4291">
        <w:rPr>
          <w:sz w:val="24"/>
        </w:rPr>
        <w:t>,</w:t>
      </w:r>
      <w:r w:rsidR="00501A5A" w:rsidRPr="009B3000">
        <w:rPr>
          <w:sz w:val="24"/>
        </w:rPr>
        <w:t xml:space="preserve"> to </w:t>
      </w:r>
      <w:r>
        <w:rPr>
          <w:sz w:val="24"/>
        </w:rPr>
        <w:t>consider this updated collection of the standards as a whole and</w:t>
      </w:r>
      <w:r w:rsidR="00D34AEA">
        <w:rPr>
          <w:sz w:val="24"/>
        </w:rPr>
        <w:t xml:space="preserve"> </w:t>
      </w:r>
      <w:r w:rsidR="00501A5A" w:rsidRPr="009B3000">
        <w:rPr>
          <w:sz w:val="24"/>
        </w:rPr>
        <w:t xml:space="preserve">provide your thoughts and feedback on this release. </w:t>
      </w:r>
      <w:r w:rsidR="007E5299" w:rsidRPr="005E4291">
        <w:rPr>
          <w:sz w:val="24"/>
        </w:rPr>
        <w:t xml:space="preserve">Consultation for this updated draft will be </w:t>
      </w:r>
      <w:r w:rsidR="007E5299" w:rsidRPr="00425BFA">
        <w:rPr>
          <w:rFonts w:eastAsia="Times New Roman"/>
          <w:sz w:val="24"/>
          <w:szCs w:val="24"/>
        </w:rPr>
        <w:t>managed again</w:t>
      </w:r>
      <w:r w:rsidR="007E5299" w:rsidRPr="005E4291">
        <w:rPr>
          <w:sz w:val="24"/>
        </w:rPr>
        <w:t xml:space="preserve"> through </w:t>
      </w:r>
      <w:r w:rsidR="007067E9">
        <w:rPr>
          <w:sz w:val="24"/>
        </w:rPr>
        <w:t xml:space="preserve">an </w:t>
      </w:r>
      <w:r w:rsidR="007E5299" w:rsidRPr="00425BFA">
        <w:rPr>
          <w:rFonts w:eastAsia="Times New Roman"/>
          <w:sz w:val="24"/>
          <w:szCs w:val="24"/>
        </w:rPr>
        <w:t>on-going</w:t>
      </w:r>
      <w:r w:rsidR="007E5299" w:rsidRPr="005E4291">
        <w:rPr>
          <w:sz w:val="24"/>
        </w:rPr>
        <w:t xml:space="preserve"> GitHub </w:t>
      </w:r>
      <w:r w:rsidR="007E5299" w:rsidRPr="00425BFA">
        <w:rPr>
          <w:rFonts w:eastAsia="Times New Roman"/>
          <w:sz w:val="24"/>
          <w:szCs w:val="24"/>
        </w:rPr>
        <w:t xml:space="preserve">feed, with scheduled workshops and through written submissions to enable feedback to be provided </w:t>
      </w:r>
      <w:r w:rsidR="000B17E9">
        <w:rPr>
          <w:rFonts w:eastAsia="Times New Roman"/>
          <w:sz w:val="24"/>
          <w:szCs w:val="24"/>
        </w:rPr>
        <w:t xml:space="preserve">via </w:t>
      </w:r>
      <w:r w:rsidR="007E5299" w:rsidRPr="00425BFA">
        <w:rPr>
          <w:rFonts w:eastAsia="Times New Roman"/>
          <w:sz w:val="24"/>
          <w:szCs w:val="24"/>
        </w:rPr>
        <w:t xml:space="preserve">the </w:t>
      </w:r>
      <w:r w:rsidR="000B17E9">
        <w:rPr>
          <w:rFonts w:eastAsia="Times New Roman"/>
          <w:sz w:val="24"/>
          <w:szCs w:val="24"/>
        </w:rPr>
        <w:t xml:space="preserve">channel that is </w:t>
      </w:r>
      <w:r w:rsidR="007E5299" w:rsidRPr="00425BFA">
        <w:rPr>
          <w:rFonts w:eastAsia="Times New Roman"/>
          <w:sz w:val="24"/>
          <w:szCs w:val="24"/>
        </w:rPr>
        <w:t>most comfortable</w:t>
      </w:r>
      <w:r w:rsidR="007E5299" w:rsidRPr="005E4291">
        <w:rPr>
          <w:sz w:val="24"/>
        </w:rPr>
        <w:t xml:space="preserve"> for </w:t>
      </w:r>
      <w:r w:rsidR="000B17E9">
        <w:rPr>
          <w:rFonts w:eastAsia="Times New Roman"/>
          <w:sz w:val="24"/>
          <w:szCs w:val="24"/>
        </w:rPr>
        <w:t>each</w:t>
      </w:r>
      <w:r w:rsidR="007E5299" w:rsidRPr="005E4291">
        <w:rPr>
          <w:sz w:val="24"/>
        </w:rPr>
        <w:t xml:space="preserve"> participant</w:t>
      </w:r>
      <w:r w:rsidR="007E5299" w:rsidRPr="00425BFA">
        <w:rPr>
          <w:rFonts w:eastAsia="Times New Roman"/>
          <w:sz w:val="24"/>
          <w:szCs w:val="24"/>
        </w:rPr>
        <w:t>.</w:t>
      </w:r>
      <w:r w:rsidR="00501A5A" w:rsidRPr="00425BFA">
        <w:rPr>
          <w:rFonts w:eastAsia="Times New Roman"/>
          <w:sz w:val="24"/>
          <w:szCs w:val="24"/>
        </w:rPr>
        <w:t xml:space="preserve"> We will accept feedback on the May</w:t>
      </w:r>
      <w:r w:rsidR="00307EF3" w:rsidRPr="00425BFA">
        <w:rPr>
          <w:rFonts w:eastAsia="Times New Roman"/>
          <w:sz w:val="24"/>
          <w:szCs w:val="24"/>
        </w:rPr>
        <w:t xml:space="preserve"> 20</w:t>
      </w:r>
      <w:r w:rsidR="00501A5A" w:rsidRPr="00425BFA">
        <w:rPr>
          <w:rFonts w:eastAsia="Times New Roman"/>
          <w:sz w:val="24"/>
          <w:szCs w:val="24"/>
        </w:rPr>
        <w:t xml:space="preserve">19 draft </w:t>
      </w:r>
      <w:r w:rsidR="00D34AEA">
        <w:rPr>
          <w:rFonts w:eastAsia="Times New Roman"/>
          <w:sz w:val="24"/>
          <w:szCs w:val="24"/>
        </w:rPr>
        <w:t xml:space="preserve">update </w:t>
      </w:r>
      <w:r w:rsidR="00501A5A" w:rsidRPr="00425BFA">
        <w:rPr>
          <w:rFonts w:eastAsia="Times New Roman"/>
          <w:sz w:val="24"/>
          <w:szCs w:val="24"/>
        </w:rPr>
        <w:t xml:space="preserve">until </w:t>
      </w:r>
      <w:r w:rsidR="00501A5A" w:rsidRPr="00425BFA">
        <w:rPr>
          <w:rFonts w:eastAsia="Times New Roman"/>
          <w:b/>
          <w:sz w:val="24"/>
          <w:szCs w:val="24"/>
        </w:rPr>
        <w:t>Friday 21 June</w:t>
      </w:r>
      <w:r w:rsidR="000B17E9">
        <w:rPr>
          <w:rFonts w:eastAsia="Times New Roman"/>
          <w:b/>
          <w:sz w:val="24"/>
          <w:szCs w:val="24"/>
        </w:rPr>
        <w:t>, 2019</w:t>
      </w:r>
      <w:r w:rsidR="00501A5A" w:rsidRPr="00425BFA">
        <w:rPr>
          <w:rFonts w:eastAsia="Times New Roman"/>
          <w:sz w:val="24"/>
          <w:szCs w:val="24"/>
        </w:rPr>
        <w:t xml:space="preserve"> via any of the feedback channels described in detail at</w:t>
      </w:r>
      <w:r w:rsidR="00501A5A" w:rsidRPr="005E4291">
        <w:rPr>
          <w:sz w:val="24"/>
        </w:rPr>
        <w:t xml:space="preserve"> the </w:t>
      </w:r>
      <w:r w:rsidR="00501A5A" w:rsidRPr="00425BFA">
        <w:rPr>
          <w:rFonts w:eastAsia="Times New Roman"/>
          <w:sz w:val="24"/>
          <w:szCs w:val="24"/>
        </w:rPr>
        <w:t xml:space="preserve">end of this document. </w:t>
      </w:r>
    </w:p>
    <w:p w:rsidR="007E5299" w:rsidRPr="009B3000" w:rsidRDefault="007E5299" w:rsidP="007E5299">
      <w:pPr>
        <w:rPr>
          <w:sz w:val="24"/>
        </w:rPr>
      </w:pPr>
    </w:p>
    <w:p w:rsidR="007E5299" w:rsidRPr="000B17E9" w:rsidRDefault="00151209" w:rsidP="007E5299">
      <w:pPr>
        <w:rPr>
          <w:rFonts w:ascii="Times New Roman" w:hAnsi="Times New Roman"/>
          <w:sz w:val="24"/>
        </w:rPr>
      </w:pPr>
      <w:r w:rsidRPr="005E0248">
        <w:rPr>
          <w:rFonts w:eastAsia="Times New Roman"/>
          <w:sz w:val="24"/>
          <w:szCs w:val="24"/>
        </w:rPr>
        <w:t xml:space="preserve">The </w:t>
      </w:r>
      <w:r w:rsidR="006C2736" w:rsidRPr="005E0248">
        <w:rPr>
          <w:rFonts w:eastAsia="Times New Roman"/>
          <w:sz w:val="24"/>
          <w:szCs w:val="24"/>
        </w:rPr>
        <w:t>CDR regime</w:t>
      </w:r>
      <w:r w:rsidRPr="005E0248">
        <w:rPr>
          <w:rFonts w:eastAsia="Times New Roman"/>
          <w:sz w:val="24"/>
          <w:szCs w:val="24"/>
        </w:rPr>
        <w:t xml:space="preserve"> is</w:t>
      </w:r>
      <w:r w:rsidR="007E5299" w:rsidRPr="005E0248">
        <w:rPr>
          <w:rFonts w:eastAsia="Times New Roman"/>
          <w:sz w:val="24"/>
          <w:szCs w:val="24"/>
        </w:rPr>
        <w:t xml:space="preserve"> </w:t>
      </w:r>
      <w:r w:rsidRPr="005E0248">
        <w:rPr>
          <w:rFonts w:eastAsia="Times New Roman"/>
          <w:sz w:val="24"/>
          <w:szCs w:val="24"/>
        </w:rPr>
        <w:t>entering</w:t>
      </w:r>
      <w:r w:rsidR="007E5299" w:rsidRPr="005E0248">
        <w:rPr>
          <w:sz w:val="24"/>
          <w:szCs w:val="24"/>
        </w:rPr>
        <w:t xml:space="preserve"> an exciting </w:t>
      </w:r>
      <w:r w:rsidR="007E5299" w:rsidRPr="00D34AEA">
        <w:rPr>
          <w:sz w:val="24"/>
          <w:szCs w:val="24"/>
        </w:rPr>
        <w:t xml:space="preserve">phase </w:t>
      </w:r>
      <w:r w:rsidR="00D34AEA">
        <w:rPr>
          <w:rFonts w:eastAsia="Times New Roman"/>
          <w:sz w:val="24"/>
          <w:szCs w:val="24"/>
        </w:rPr>
        <w:t>with</w:t>
      </w:r>
      <w:r w:rsidR="00D34AEA" w:rsidRPr="00D34AEA">
        <w:rPr>
          <w:rFonts w:eastAsia="Times New Roman"/>
          <w:sz w:val="24"/>
          <w:szCs w:val="24"/>
        </w:rPr>
        <w:t xml:space="preserve"> </w:t>
      </w:r>
      <w:r w:rsidR="007E5299" w:rsidRPr="00D34AEA">
        <w:rPr>
          <w:sz w:val="24"/>
          <w:szCs w:val="24"/>
        </w:rPr>
        <w:t xml:space="preserve">testing </w:t>
      </w:r>
      <w:r w:rsidR="006C2736">
        <w:rPr>
          <w:sz w:val="24"/>
          <w:szCs w:val="24"/>
        </w:rPr>
        <w:t xml:space="preserve">of the rules and standards </w:t>
      </w:r>
      <w:r w:rsidR="007E5299" w:rsidRPr="00D34AEA">
        <w:rPr>
          <w:sz w:val="24"/>
          <w:szCs w:val="24"/>
        </w:rPr>
        <w:t xml:space="preserve">scheduled to be undertaken </w:t>
      </w:r>
      <w:r w:rsidR="00307EF3" w:rsidRPr="00D34AEA">
        <w:rPr>
          <w:rFonts w:eastAsia="Times New Roman"/>
          <w:sz w:val="24"/>
          <w:szCs w:val="24"/>
        </w:rPr>
        <w:t>in the near future and a live implementation rolled out</w:t>
      </w:r>
      <w:r w:rsidR="00307EF3" w:rsidRPr="006C2736">
        <w:rPr>
          <w:sz w:val="24"/>
          <w:szCs w:val="24"/>
        </w:rPr>
        <w:t xml:space="preserve"> shortly</w:t>
      </w:r>
      <w:r w:rsidR="00307EF3" w:rsidRPr="006C2736">
        <w:rPr>
          <w:rFonts w:eastAsia="Times New Roman"/>
          <w:sz w:val="24"/>
          <w:szCs w:val="24"/>
        </w:rPr>
        <w:t xml:space="preserve"> thereafter</w:t>
      </w:r>
      <w:r w:rsidR="007E5299" w:rsidRPr="006C2736">
        <w:rPr>
          <w:sz w:val="24"/>
          <w:szCs w:val="24"/>
        </w:rPr>
        <w:t>.</w:t>
      </w:r>
    </w:p>
    <w:p w:rsidR="007E5299" w:rsidRPr="009B3000" w:rsidRDefault="007E5299" w:rsidP="007E5299">
      <w:pPr>
        <w:rPr>
          <w:rFonts w:ascii="Times New Roman" w:hAnsi="Times New Roman"/>
          <w:sz w:val="24"/>
        </w:rPr>
      </w:pPr>
    </w:p>
    <w:p w:rsidR="007E5299" w:rsidRPr="000B17E9" w:rsidRDefault="00175A05" w:rsidP="007E5299">
      <w:pPr>
        <w:rPr>
          <w:rFonts w:ascii="Times New Roman" w:hAnsi="Times New Roman"/>
          <w:sz w:val="24"/>
        </w:rPr>
      </w:pPr>
      <w:r w:rsidRPr="00425BFA">
        <w:rPr>
          <w:rFonts w:eastAsia="Times New Roman"/>
          <w:sz w:val="24"/>
          <w:szCs w:val="24"/>
        </w:rPr>
        <w:t xml:space="preserve">The </w:t>
      </w:r>
      <w:r w:rsidR="00307EF3" w:rsidRPr="00425BFA">
        <w:rPr>
          <w:rFonts w:eastAsia="Times New Roman"/>
          <w:sz w:val="24"/>
          <w:szCs w:val="24"/>
        </w:rPr>
        <w:t xml:space="preserve">Data Standards Body </w:t>
      </w:r>
      <w:r w:rsidR="007E5299" w:rsidRPr="00425BFA">
        <w:rPr>
          <w:rFonts w:eastAsia="Times New Roman"/>
          <w:sz w:val="24"/>
          <w:szCs w:val="24"/>
        </w:rPr>
        <w:t>look</w:t>
      </w:r>
      <w:r w:rsidRPr="00425BFA">
        <w:rPr>
          <w:rFonts w:eastAsia="Times New Roman"/>
          <w:sz w:val="24"/>
          <w:szCs w:val="24"/>
        </w:rPr>
        <w:t>s</w:t>
      </w:r>
      <w:r w:rsidR="007E5299" w:rsidRPr="000B17E9">
        <w:rPr>
          <w:sz w:val="24"/>
        </w:rPr>
        <w:t xml:space="preserve"> forward to continuing to work with all participants in building a strong and useful set of </w:t>
      </w:r>
      <w:r w:rsidR="000B17E9">
        <w:rPr>
          <w:rFonts w:eastAsia="Times New Roman"/>
          <w:sz w:val="24"/>
          <w:szCs w:val="24"/>
        </w:rPr>
        <w:t>C</w:t>
      </w:r>
      <w:r w:rsidR="007E5299" w:rsidRPr="00425BFA">
        <w:rPr>
          <w:rFonts w:eastAsia="Times New Roman"/>
          <w:sz w:val="24"/>
          <w:szCs w:val="24"/>
        </w:rPr>
        <w:t xml:space="preserve">onsumer </w:t>
      </w:r>
      <w:r w:rsidR="000B17E9">
        <w:rPr>
          <w:rFonts w:eastAsia="Times New Roman"/>
          <w:sz w:val="24"/>
          <w:szCs w:val="24"/>
        </w:rPr>
        <w:t>D</w:t>
      </w:r>
      <w:r w:rsidR="000B17E9" w:rsidRPr="00425BFA">
        <w:rPr>
          <w:rFonts w:eastAsia="Times New Roman"/>
          <w:sz w:val="24"/>
          <w:szCs w:val="24"/>
        </w:rPr>
        <w:t xml:space="preserve">ata </w:t>
      </w:r>
      <w:r w:rsidR="000B17E9">
        <w:rPr>
          <w:rFonts w:eastAsia="Times New Roman"/>
          <w:sz w:val="24"/>
          <w:szCs w:val="24"/>
        </w:rPr>
        <w:t>S</w:t>
      </w:r>
      <w:r w:rsidR="000B17E9" w:rsidRPr="00425BFA">
        <w:rPr>
          <w:rFonts w:eastAsia="Times New Roman"/>
          <w:sz w:val="24"/>
          <w:szCs w:val="24"/>
        </w:rPr>
        <w:t>tandards</w:t>
      </w:r>
      <w:r w:rsidR="007E5299" w:rsidRPr="000B17E9">
        <w:rPr>
          <w:sz w:val="24"/>
        </w:rPr>
        <w:t>.</w:t>
      </w:r>
    </w:p>
    <w:p w:rsidR="007E5299" w:rsidRPr="009B3000" w:rsidRDefault="007E5299" w:rsidP="007E5299">
      <w:pPr>
        <w:rPr>
          <w:b/>
          <w:color w:val="5B9BD5" w:themeColor="accent1"/>
          <w:sz w:val="24"/>
        </w:rPr>
      </w:pPr>
    </w:p>
    <w:p w:rsidR="007E5299" w:rsidRDefault="007E5299" w:rsidP="007E5299">
      <w:pPr>
        <w:rPr>
          <w:rFonts w:cs="Arial"/>
          <w:b/>
          <w:bCs/>
          <w:iCs/>
          <w:color w:val="5B9BD5" w:themeColor="accent1"/>
          <w:sz w:val="32"/>
          <w:szCs w:val="32"/>
        </w:rPr>
      </w:pPr>
      <w:r>
        <w:br w:type="page"/>
      </w:r>
    </w:p>
    <w:p w:rsidR="007E5299" w:rsidRPr="007C0C06" w:rsidRDefault="007E5299" w:rsidP="007C0C06">
      <w:pPr>
        <w:pStyle w:val="Heading2"/>
      </w:pPr>
      <w:r w:rsidRPr="007C0C06">
        <w:lastRenderedPageBreak/>
        <w:t>The background in summary</w:t>
      </w:r>
    </w:p>
    <w:p w:rsidR="007E5299" w:rsidRPr="007879C8" w:rsidRDefault="007E5299" w:rsidP="006A162C">
      <w:pPr>
        <w:pStyle w:val="NormalWeb"/>
        <w:numPr>
          <w:ilvl w:val="0"/>
          <w:numId w:val="12"/>
        </w:numPr>
        <w:spacing w:before="0" w:beforeAutospacing="0" w:after="120" w:afterAutospacing="0"/>
        <w:textAlignment w:val="baseline"/>
        <w:rPr>
          <w:rFonts w:ascii="Calibri" w:hAnsi="Calibri" w:cs="Calibri"/>
          <w:color w:val="000000"/>
        </w:rPr>
      </w:pPr>
      <w:r w:rsidRPr="007879C8">
        <w:rPr>
          <w:rFonts w:ascii="Calibri" w:hAnsi="Calibri" w:cs="Calibri"/>
          <w:color w:val="000000"/>
        </w:rPr>
        <w:t>The Data Standards</w:t>
      </w:r>
      <w:r w:rsidR="003342C3">
        <w:rPr>
          <w:rFonts w:ascii="Calibri" w:hAnsi="Calibri" w:cs="Calibri"/>
          <w:color w:val="000000"/>
        </w:rPr>
        <w:t xml:space="preserve"> Body</w:t>
      </w:r>
      <w:r w:rsidRPr="007879C8">
        <w:rPr>
          <w:rFonts w:ascii="Calibri" w:hAnsi="Calibri" w:cs="Calibri"/>
          <w:color w:val="000000"/>
        </w:rPr>
        <w:t xml:space="preserve"> has been working </w:t>
      </w:r>
      <w:r w:rsidR="00175A05">
        <w:rPr>
          <w:rFonts w:ascii="Calibri" w:hAnsi="Calibri" w:cs="Calibri"/>
          <w:color w:val="000000"/>
        </w:rPr>
        <w:t>transparently in public</w:t>
      </w:r>
      <w:r w:rsidRPr="007879C8">
        <w:rPr>
          <w:rFonts w:ascii="Calibri" w:hAnsi="Calibri" w:cs="Calibri"/>
          <w:color w:val="000000"/>
        </w:rPr>
        <w:t xml:space="preserve"> to create and </w:t>
      </w:r>
      <w:r w:rsidR="00175A05">
        <w:rPr>
          <w:rFonts w:ascii="Calibri" w:hAnsi="Calibri" w:cs="Calibri"/>
          <w:color w:val="000000"/>
        </w:rPr>
        <w:t>refine</w:t>
      </w:r>
      <w:r w:rsidRPr="007879C8">
        <w:rPr>
          <w:rFonts w:ascii="Calibri" w:hAnsi="Calibri" w:cs="Calibri"/>
          <w:color w:val="000000"/>
        </w:rPr>
        <w:t xml:space="preserve"> draft technical standards since late July 2018, </w:t>
      </w:r>
      <w:r w:rsidR="00175A05">
        <w:rPr>
          <w:rFonts w:ascii="Calibri" w:hAnsi="Calibri" w:cs="Calibri"/>
          <w:color w:val="000000"/>
        </w:rPr>
        <w:t>working in parallel with</w:t>
      </w:r>
      <w:r w:rsidRPr="007879C8">
        <w:rPr>
          <w:rFonts w:ascii="Calibri" w:hAnsi="Calibri" w:cs="Calibri"/>
          <w:color w:val="000000"/>
        </w:rPr>
        <w:t xml:space="preserve"> Treasury and the </w:t>
      </w:r>
      <w:r w:rsidR="007067E9">
        <w:rPr>
          <w:rFonts w:ascii="Calibri" w:hAnsi="Calibri" w:cs="Calibri"/>
          <w:color w:val="000000"/>
        </w:rPr>
        <w:t>Australian Competition and Consumer Commission (</w:t>
      </w:r>
      <w:r w:rsidRPr="007879C8">
        <w:rPr>
          <w:rFonts w:ascii="Calibri" w:hAnsi="Calibri" w:cs="Calibri"/>
          <w:color w:val="000000"/>
        </w:rPr>
        <w:t>ACCC</w:t>
      </w:r>
      <w:r w:rsidR="007067E9">
        <w:rPr>
          <w:rFonts w:ascii="Calibri" w:hAnsi="Calibri" w:cs="Calibri"/>
          <w:color w:val="000000"/>
        </w:rPr>
        <w:t>). The ACCC</w:t>
      </w:r>
      <w:r w:rsidRPr="007879C8">
        <w:rPr>
          <w:rFonts w:ascii="Calibri" w:hAnsi="Calibri" w:cs="Calibri"/>
          <w:color w:val="000000"/>
        </w:rPr>
        <w:t xml:space="preserve"> </w:t>
      </w:r>
      <w:r w:rsidR="007067E9">
        <w:rPr>
          <w:rFonts w:ascii="Calibri" w:hAnsi="Calibri" w:cs="Calibri"/>
          <w:color w:val="000000"/>
        </w:rPr>
        <w:t>is</w:t>
      </w:r>
      <w:r w:rsidR="003342C3">
        <w:rPr>
          <w:rFonts w:ascii="Calibri" w:hAnsi="Calibri" w:cs="Calibri"/>
          <w:color w:val="000000"/>
        </w:rPr>
        <w:t xml:space="preserve"> responsible for the </w:t>
      </w:r>
      <w:r w:rsidRPr="007879C8">
        <w:rPr>
          <w:rFonts w:ascii="Calibri" w:hAnsi="Calibri" w:cs="Calibri"/>
          <w:color w:val="000000"/>
        </w:rPr>
        <w:t xml:space="preserve">design </w:t>
      </w:r>
      <w:r w:rsidR="003342C3">
        <w:rPr>
          <w:rFonts w:ascii="Calibri" w:hAnsi="Calibri" w:cs="Calibri"/>
          <w:color w:val="000000"/>
        </w:rPr>
        <w:t xml:space="preserve">of the </w:t>
      </w:r>
      <w:r w:rsidRPr="007879C8">
        <w:rPr>
          <w:rFonts w:ascii="Calibri" w:hAnsi="Calibri" w:cs="Calibri"/>
          <w:color w:val="000000"/>
        </w:rPr>
        <w:t xml:space="preserve">rules </w:t>
      </w:r>
      <w:r w:rsidR="003342C3">
        <w:rPr>
          <w:rFonts w:ascii="Calibri" w:hAnsi="Calibri" w:cs="Calibri"/>
          <w:color w:val="000000"/>
        </w:rPr>
        <w:t>relating to</w:t>
      </w:r>
      <w:r w:rsidR="003342C3" w:rsidRPr="007879C8">
        <w:rPr>
          <w:rFonts w:ascii="Calibri" w:hAnsi="Calibri" w:cs="Calibri"/>
          <w:color w:val="000000"/>
        </w:rPr>
        <w:t xml:space="preserve"> </w:t>
      </w:r>
      <w:r w:rsidRPr="007879C8">
        <w:rPr>
          <w:rFonts w:ascii="Calibri" w:hAnsi="Calibri" w:cs="Calibri"/>
          <w:color w:val="000000"/>
        </w:rPr>
        <w:t>the Consumer Data Right</w:t>
      </w:r>
      <w:r w:rsidR="003342C3">
        <w:rPr>
          <w:rFonts w:ascii="Calibri" w:hAnsi="Calibri" w:cs="Calibri"/>
          <w:color w:val="000000"/>
        </w:rPr>
        <w:t xml:space="preserve"> regime</w:t>
      </w:r>
      <w:r w:rsidRPr="007879C8">
        <w:rPr>
          <w:rFonts w:ascii="Calibri" w:hAnsi="Calibri" w:cs="Calibri"/>
          <w:color w:val="000000"/>
        </w:rPr>
        <w:t xml:space="preserve">. </w:t>
      </w:r>
      <w:r w:rsidR="002944EA">
        <w:rPr>
          <w:rFonts w:ascii="Calibri" w:hAnsi="Calibri" w:cs="Calibri"/>
          <w:color w:val="000000"/>
        </w:rPr>
        <w:t>Treasury has carriage of the legislation and Designation Instrument.</w:t>
      </w:r>
    </w:p>
    <w:p w:rsidR="00493F04" w:rsidRPr="00493F04" w:rsidRDefault="007E5299" w:rsidP="006A162C">
      <w:pPr>
        <w:pStyle w:val="NormalWeb"/>
        <w:numPr>
          <w:ilvl w:val="1"/>
          <w:numId w:val="12"/>
        </w:numPr>
        <w:spacing w:before="0" w:beforeAutospacing="0" w:after="120" w:afterAutospacing="0"/>
        <w:textAlignment w:val="baseline"/>
        <w:rPr>
          <w:rFonts w:ascii="Calibri" w:hAnsi="Calibri"/>
          <w:color w:val="000000"/>
        </w:rPr>
      </w:pPr>
      <w:r w:rsidRPr="007879C8">
        <w:rPr>
          <w:rFonts w:ascii="Calibri" w:hAnsi="Calibri" w:cs="Calibri"/>
          <w:color w:val="000000"/>
        </w:rPr>
        <w:t xml:space="preserve">For a summary of how the process was initiated and how technical decisions have been made, </w:t>
      </w:r>
      <w:r w:rsidR="006C2736">
        <w:rPr>
          <w:rFonts w:ascii="Calibri" w:hAnsi="Calibri" w:cs="Calibri"/>
          <w:color w:val="000000"/>
        </w:rPr>
        <w:t xml:space="preserve">see </w:t>
      </w:r>
      <w:r w:rsidRPr="007879C8">
        <w:rPr>
          <w:rFonts w:ascii="Calibri" w:hAnsi="Calibri" w:cs="Calibri"/>
          <w:color w:val="000000"/>
        </w:rPr>
        <w:t>th</w:t>
      </w:r>
      <w:r w:rsidR="006C2736">
        <w:rPr>
          <w:rFonts w:ascii="Calibri" w:hAnsi="Calibri" w:cs="Calibri"/>
          <w:color w:val="000000"/>
        </w:rPr>
        <w:t>e following</w:t>
      </w:r>
      <w:r w:rsidR="002C7272">
        <w:rPr>
          <w:rFonts w:ascii="Calibri" w:hAnsi="Calibri" w:cs="Calibri"/>
          <w:color w:val="000000"/>
        </w:rPr>
        <w:t xml:space="preserve"> </w:t>
      </w:r>
      <w:r w:rsidR="002C7272" w:rsidRPr="005E0248">
        <w:rPr>
          <w:rFonts w:ascii="Calibri" w:hAnsi="Calibri" w:cs="Calibri"/>
          <w:color w:val="000000"/>
        </w:rPr>
        <w:t>document</w:t>
      </w:r>
      <w:r w:rsidRPr="007879C8">
        <w:rPr>
          <w:rFonts w:ascii="Calibri" w:hAnsi="Calibri" w:cs="Calibri"/>
          <w:color w:val="000000"/>
        </w:rPr>
        <w:t xml:space="preserve"> attached to our 2nd of November draft: </w:t>
      </w:r>
    </w:p>
    <w:p w:rsidR="007E5299" w:rsidRPr="009B3000" w:rsidRDefault="00417338" w:rsidP="00493F04">
      <w:pPr>
        <w:pStyle w:val="NormalWeb"/>
        <w:spacing w:before="0" w:beforeAutospacing="0" w:after="120" w:afterAutospacing="0"/>
        <w:ind w:left="1440"/>
        <w:textAlignment w:val="baseline"/>
        <w:rPr>
          <w:rFonts w:ascii="Calibri" w:hAnsi="Calibri"/>
          <w:color w:val="000000"/>
        </w:rPr>
      </w:pPr>
      <w:hyperlink r:id="rId8" w:history="1">
        <w:r w:rsidR="0002069D" w:rsidRPr="00493F04">
          <w:rPr>
            <w:rStyle w:val="Hyperlink"/>
            <w:rFonts w:ascii="Calibri" w:hAnsi="Calibri"/>
          </w:rPr>
          <w:t>https://consumerdatastandards.org.au/wp-content/uploads/2018/11/Working-Draft_CDR_2-November-2018-1.pdf</w:t>
        </w:r>
      </w:hyperlink>
    </w:p>
    <w:p w:rsidR="003108FF" w:rsidRDefault="003108FF" w:rsidP="003108FF">
      <w:pPr>
        <w:pStyle w:val="NormalWeb"/>
        <w:numPr>
          <w:ilvl w:val="0"/>
          <w:numId w:val="12"/>
        </w:numPr>
        <w:spacing w:before="0" w:beforeAutospacing="0" w:after="120" w:afterAutospacing="0"/>
        <w:textAlignment w:val="baseline"/>
        <w:rPr>
          <w:rFonts w:ascii="Calibri" w:hAnsi="Calibri" w:cs="Calibri"/>
          <w:color w:val="000000"/>
        </w:rPr>
      </w:pPr>
      <w:r>
        <w:rPr>
          <w:rFonts w:ascii="Calibri" w:hAnsi="Calibri" w:cs="Calibri"/>
          <w:color w:val="000000"/>
        </w:rPr>
        <w:t xml:space="preserve">The ACCC has released draft versions of the applicable rules in </w:t>
      </w:r>
      <w:r w:rsidRPr="009B3000">
        <w:rPr>
          <w:rFonts w:ascii="Calibri" w:hAnsi="Calibri"/>
          <w:color w:val="000000"/>
        </w:rPr>
        <w:t>December 2018</w:t>
      </w:r>
      <w:r>
        <w:rPr>
          <w:rFonts w:ascii="Calibri" w:hAnsi="Calibri" w:cs="Calibri"/>
          <w:color w:val="000000"/>
        </w:rPr>
        <w:t xml:space="preserve"> and a further updated version in </w:t>
      </w:r>
      <w:r w:rsidRPr="009B3000">
        <w:rPr>
          <w:rFonts w:ascii="Calibri" w:hAnsi="Calibri"/>
          <w:color w:val="000000"/>
        </w:rPr>
        <w:t>April 2019</w:t>
      </w:r>
      <w:r>
        <w:rPr>
          <w:rFonts w:ascii="Calibri" w:hAnsi="Calibri" w:cs="Calibri"/>
          <w:color w:val="000000"/>
        </w:rPr>
        <w:t xml:space="preserve">. </w:t>
      </w:r>
      <w:r w:rsidR="007067E9">
        <w:rPr>
          <w:rFonts w:ascii="Calibri" w:hAnsi="Calibri" w:cs="Calibri"/>
          <w:color w:val="000000"/>
        </w:rPr>
        <w:t xml:space="preserve">We </w:t>
      </w:r>
      <w:r>
        <w:rPr>
          <w:rFonts w:ascii="Calibri" w:hAnsi="Calibri" w:cs="Calibri"/>
          <w:color w:val="000000"/>
        </w:rPr>
        <w:t>have worked closely with ACCC and Treasury to ensure the Data Standards Body will issue standards aligned to the rules, the legislation and the designation instrument in a way that makes implementation of the regime as easy as possible from a technical perspective.</w:t>
      </w:r>
    </w:p>
    <w:p w:rsidR="003108FF" w:rsidRPr="007879C8" w:rsidRDefault="003108FF">
      <w:pPr>
        <w:pStyle w:val="NormalWeb"/>
        <w:numPr>
          <w:ilvl w:val="0"/>
          <w:numId w:val="12"/>
        </w:numPr>
        <w:spacing w:before="0" w:beforeAutospacing="0" w:after="120" w:afterAutospacing="0"/>
        <w:textAlignment w:val="baseline"/>
        <w:rPr>
          <w:rFonts w:ascii="Calibri" w:hAnsi="Calibri" w:cs="Calibri"/>
          <w:color w:val="000000"/>
        </w:rPr>
      </w:pPr>
      <w:r>
        <w:rPr>
          <w:rFonts w:ascii="Calibri" w:hAnsi="Calibri" w:cs="Calibri"/>
          <w:color w:val="000000"/>
        </w:rPr>
        <w:t>The Interim Chair of the Data Standards Body invited 15 representatives from across the CDR eco-system to form an Advisory Committee in July 2018 which has met every month since then to provide strategic input for the Interim Chair and the CDS team to consider as it develops the standards. This has provided very productive discussions of key issues that need to be addressed in the standards.</w:t>
      </w:r>
    </w:p>
    <w:p w:rsidR="007E5299" w:rsidRPr="007879C8" w:rsidRDefault="003108FF" w:rsidP="006A162C">
      <w:pPr>
        <w:pStyle w:val="NormalWeb"/>
        <w:numPr>
          <w:ilvl w:val="0"/>
          <w:numId w:val="12"/>
        </w:numPr>
        <w:spacing w:before="0" w:beforeAutospacing="0" w:after="120" w:afterAutospacing="0"/>
        <w:textAlignment w:val="baseline"/>
        <w:rPr>
          <w:rFonts w:ascii="Calibri" w:hAnsi="Calibri" w:cs="Calibri"/>
          <w:color w:val="000000"/>
        </w:rPr>
      </w:pPr>
      <w:r>
        <w:rPr>
          <w:rFonts w:ascii="Calibri" w:hAnsi="Calibri" w:cs="Calibri"/>
          <w:color w:val="000000"/>
        </w:rPr>
        <w:t>T</w:t>
      </w:r>
      <w:r w:rsidRPr="007879C8">
        <w:rPr>
          <w:rFonts w:ascii="Calibri" w:hAnsi="Calibri" w:cs="Calibri"/>
          <w:color w:val="000000"/>
        </w:rPr>
        <w:t xml:space="preserve">he </w:t>
      </w:r>
      <w:r w:rsidR="007E5299" w:rsidRPr="007879C8">
        <w:rPr>
          <w:rFonts w:ascii="Calibri" w:hAnsi="Calibri" w:cs="Calibri"/>
          <w:color w:val="000000"/>
        </w:rPr>
        <w:t>Consumer Data Standards program</w:t>
      </w:r>
      <w:r>
        <w:rPr>
          <w:rFonts w:ascii="Calibri" w:hAnsi="Calibri" w:cs="Calibri"/>
          <w:color w:val="000000"/>
        </w:rPr>
        <w:t xml:space="preserve"> comprises four work</w:t>
      </w:r>
      <w:r w:rsidR="006C2736">
        <w:rPr>
          <w:rFonts w:ascii="Calibri" w:hAnsi="Calibri" w:cs="Calibri"/>
          <w:color w:val="000000"/>
        </w:rPr>
        <w:t>ing group</w:t>
      </w:r>
      <w:r>
        <w:rPr>
          <w:rFonts w:ascii="Calibri" w:hAnsi="Calibri" w:cs="Calibri"/>
          <w:color w:val="000000"/>
        </w:rPr>
        <w:t xml:space="preserve"> streams</w:t>
      </w:r>
      <w:r w:rsidR="007E5299" w:rsidRPr="007879C8">
        <w:rPr>
          <w:rFonts w:ascii="Calibri" w:hAnsi="Calibri" w:cs="Calibri"/>
          <w:color w:val="000000"/>
        </w:rPr>
        <w:t>:</w:t>
      </w:r>
    </w:p>
    <w:p w:rsidR="007E5299" w:rsidRPr="007879C8" w:rsidRDefault="007E5299" w:rsidP="00720791">
      <w:pPr>
        <w:pStyle w:val="NormalWeb"/>
        <w:numPr>
          <w:ilvl w:val="1"/>
          <w:numId w:val="12"/>
        </w:numPr>
        <w:spacing w:before="0" w:beforeAutospacing="0" w:after="120" w:afterAutospacing="0"/>
        <w:textAlignment w:val="baseline"/>
        <w:rPr>
          <w:rFonts w:ascii="Arial" w:hAnsi="Arial" w:cs="Arial"/>
          <w:color w:val="000000"/>
        </w:rPr>
      </w:pPr>
      <w:r w:rsidRPr="007879C8">
        <w:rPr>
          <w:rFonts w:ascii="Calibri" w:hAnsi="Calibri" w:cs="Calibri"/>
          <w:b/>
          <w:bCs/>
          <w:color w:val="000000"/>
        </w:rPr>
        <w:t xml:space="preserve">API Standards: </w:t>
      </w:r>
      <w:r w:rsidRPr="007879C8">
        <w:rPr>
          <w:rFonts w:ascii="Calibri" w:hAnsi="Calibri" w:cs="Calibri"/>
          <w:color w:val="000000"/>
        </w:rPr>
        <w:t>drafting and validating API specifications</w:t>
      </w:r>
      <w:r w:rsidR="001A29FD">
        <w:rPr>
          <w:rFonts w:ascii="Calibri" w:hAnsi="Calibri" w:cs="Calibri"/>
          <w:color w:val="000000"/>
        </w:rPr>
        <w:t>;</w:t>
      </w:r>
    </w:p>
    <w:p w:rsidR="007E5299" w:rsidRPr="007879C8" w:rsidRDefault="007E5299" w:rsidP="00720791">
      <w:pPr>
        <w:pStyle w:val="NormalWeb"/>
        <w:numPr>
          <w:ilvl w:val="1"/>
          <w:numId w:val="12"/>
        </w:numPr>
        <w:spacing w:before="0" w:beforeAutospacing="0" w:after="120" w:afterAutospacing="0"/>
        <w:textAlignment w:val="baseline"/>
        <w:rPr>
          <w:rFonts w:ascii="Arial" w:hAnsi="Arial" w:cs="Arial"/>
          <w:color w:val="000000"/>
        </w:rPr>
      </w:pPr>
      <w:r w:rsidRPr="007879C8">
        <w:rPr>
          <w:rFonts w:ascii="Calibri" w:hAnsi="Calibri" w:cs="Calibri"/>
          <w:b/>
          <w:bCs/>
          <w:color w:val="000000"/>
        </w:rPr>
        <w:t xml:space="preserve">Information Security: </w:t>
      </w:r>
      <w:r w:rsidRPr="007879C8">
        <w:rPr>
          <w:rFonts w:ascii="Calibri" w:hAnsi="Calibri" w:cs="Calibri"/>
          <w:color w:val="000000"/>
        </w:rPr>
        <w:t>defining the information security profile supporting the API specifications, and authorisation and authentication flows</w:t>
      </w:r>
      <w:r w:rsidR="001A29FD">
        <w:rPr>
          <w:rFonts w:ascii="Calibri" w:hAnsi="Calibri" w:cs="Calibri"/>
          <w:color w:val="000000"/>
        </w:rPr>
        <w:t>;</w:t>
      </w:r>
      <w:r w:rsidRPr="007879C8">
        <w:rPr>
          <w:rFonts w:ascii="Calibri" w:hAnsi="Calibri" w:cs="Calibri"/>
          <w:color w:val="000000"/>
        </w:rPr>
        <w:t xml:space="preserve"> </w:t>
      </w:r>
    </w:p>
    <w:p w:rsidR="001A29FD" w:rsidRPr="000727C7" w:rsidRDefault="007E5299" w:rsidP="006A162C">
      <w:pPr>
        <w:pStyle w:val="NormalWeb"/>
        <w:numPr>
          <w:ilvl w:val="1"/>
          <w:numId w:val="12"/>
        </w:numPr>
        <w:spacing w:before="0" w:beforeAutospacing="0" w:after="120" w:afterAutospacing="0"/>
        <w:textAlignment w:val="baseline"/>
        <w:rPr>
          <w:rFonts w:ascii="Arial" w:hAnsi="Arial" w:cs="Arial"/>
          <w:color w:val="000000"/>
        </w:rPr>
      </w:pPr>
      <w:r w:rsidRPr="000727C7">
        <w:rPr>
          <w:rFonts w:ascii="Calibri" w:hAnsi="Calibri" w:cs="Calibri"/>
          <w:b/>
          <w:bCs/>
          <w:color w:val="000000"/>
        </w:rPr>
        <w:t>Consumer Experience</w:t>
      </w:r>
      <w:r w:rsidR="005C2DCD" w:rsidRPr="000727C7">
        <w:rPr>
          <w:rFonts w:ascii="Calibri" w:hAnsi="Calibri" w:cs="Calibri"/>
          <w:b/>
          <w:bCs/>
          <w:color w:val="000000"/>
        </w:rPr>
        <w:t xml:space="preserve"> (CX)</w:t>
      </w:r>
      <w:r w:rsidRPr="000727C7">
        <w:rPr>
          <w:rFonts w:ascii="Calibri" w:hAnsi="Calibri" w:cs="Calibri"/>
          <w:b/>
          <w:bCs/>
          <w:color w:val="000000"/>
        </w:rPr>
        <w:t xml:space="preserve">: </w:t>
      </w:r>
      <w:r w:rsidR="009D63CA" w:rsidRPr="000727C7">
        <w:rPr>
          <w:rFonts w:ascii="Calibri" w:hAnsi="Calibri" w:cs="Calibri"/>
          <w:color w:val="000000"/>
        </w:rPr>
        <w:t xml:space="preserve">providing </w:t>
      </w:r>
      <w:r w:rsidRPr="000727C7">
        <w:rPr>
          <w:rFonts w:ascii="Calibri" w:hAnsi="Calibri" w:cs="Calibri"/>
          <w:color w:val="000000"/>
        </w:rPr>
        <w:t xml:space="preserve">best practice language and </w:t>
      </w:r>
      <w:r w:rsidR="009D63CA" w:rsidRPr="000727C7">
        <w:rPr>
          <w:rFonts w:ascii="Calibri" w:hAnsi="Calibri" w:cs="Calibri"/>
          <w:color w:val="000000"/>
        </w:rPr>
        <w:t xml:space="preserve">user experience (UX) </w:t>
      </w:r>
      <w:r w:rsidRPr="000727C7">
        <w:rPr>
          <w:rFonts w:ascii="Calibri" w:hAnsi="Calibri" w:cs="Calibri"/>
          <w:color w:val="000000"/>
        </w:rPr>
        <w:t xml:space="preserve">design patterns to </w:t>
      </w:r>
      <w:r w:rsidR="009D63CA" w:rsidRPr="000727C7">
        <w:rPr>
          <w:rFonts w:ascii="Calibri" w:hAnsi="Calibri" w:cs="Calibri"/>
          <w:color w:val="000000"/>
        </w:rPr>
        <w:t>request</w:t>
      </w:r>
      <w:r w:rsidRPr="000727C7">
        <w:rPr>
          <w:rFonts w:ascii="Calibri" w:hAnsi="Calibri" w:cs="Calibri"/>
          <w:color w:val="000000"/>
        </w:rPr>
        <w:t xml:space="preserve"> consumer consent and </w:t>
      </w:r>
      <w:r w:rsidR="009D63CA" w:rsidRPr="000727C7">
        <w:rPr>
          <w:rFonts w:ascii="Calibri" w:hAnsi="Calibri" w:cs="Calibri"/>
          <w:color w:val="000000"/>
        </w:rPr>
        <w:t>guide</w:t>
      </w:r>
      <w:r w:rsidRPr="000727C7">
        <w:rPr>
          <w:rFonts w:ascii="Calibri" w:hAnsi="Calibri" w:cs="Calibri"/>
          <w:color w:val="000000"/>
        </w:rPr>
        <w:t xml:space="preserve"> authentication and authorisation flows</w:t>
      </w:r>
      <w:r w:rsidR="001A29FD" w:rsidRPr="000727C7">
        <w:rPr>
          <w:rFonts w:ascii="Calibri" w:hAnsi="Calibri" w:cs="Calibri"/>
          <w:color w:val="000000"/>
        </w:rPr>
        <w:t>; and</w:t>
      </w:r>
    </w:p>
    <w:p w:rsidR="007067E9" w:rsidRPr="00493F04" w:rsidRDefault="00C25081" w:rsidP="00493F04">
      <w:pPr>
        <w:pStyle w:val="NormalWeb"/>
        <w:numPr>
          <w:ilvl w:val="1"/>
          <w:numId w:val="12"/>
        </w:numPr>
        <w:spacing w:before="0" w:beforeAutospacing="0" w:after="120" w:afterAutospacing="0"/>
        <w:textAlignment w:val="baseline"/>
        <w:rPr>
          <w:rFonts w:ascii="Calibri" w:hAnsi="Calibri" w:cs="Calibri"/>
          <w:b/>
          <w:bCs/>
          <w:color w:val="000000"/>
        </w:rPr>
      </w:pPr>
      <w:r w:rsidRPr="001A29FD">
        <w:rPr>
          <w:rFonts w:ascii="Calibri" w:hAnsi="Calibri" w:cs="Calibri"/>
          <w:b/>
          <w:bCs/>
          <w:color w:val="000000"/>
        </w:rPr>
        <w:t>Engineering:</w:t>
      </w:r>
      <w:r w:rsidRPr="00493F04">
        <w:rPr>
          <w:rFonts w:ascii="Calibri" w:hAnsi="Calibri" w:cs="Calibri"/>
          <w:b/>
          <w:bCs/>
          <w:color w:val="000000"/>
        </w:rPr>
        <w:t xml:space="preserve"> </w:t>
      </w:r>
      <w:r w:rsidR="005801D3" w:rsidRPr="00493F04">
        <w:rPr>
          <w:rFonts w:ascii="Calibri" w:hAnsi="Calibri" w:cs="Calibri"/>
          <w:bCs/>
          <w:color w:val="000000"/>
        </w:rPr>
        <w:t xml:space="preserve">focuses on demonstrating the API Standards through the delivery of usable software artefacts </w:t>
      </w:r>
      <w:r w:rsidR="009D63CA" w:rsidRPr="00493F04">
        <w:rPr>
          <w:rFonts w:ascii="Calibri" w:hAnsi="Calibri" w:cs="Calibri"/>
          <w:bCs/>
          <w:color w:val="000000"/>
        </w:rPr>
        <w:t xml:space="preserve">that </w:t>
      </w:r>
      <w:r w:rsidR="005801D3" w:rsidRPr="00493F04">
        <w:rPr>
          <w:rFonts w:ascii="Calibri" w:hAnsi="Calibri" w:cs="Calibri"/>
          <w:bCs/>
          <w:color w:val="000000"/>
        </w:rPr>
        <w:t>assist ecosystem participants demonstrate conformance with the standards and rules for CDR.</w:t>
      </w:r>
      <w:r w:rsidR="001A29FD" w:rsidRPr="00493F04">
        <w:rPr>
          <w:rFonts w:ascii="Calibri" w:hAnsi="Calibri" w:cs="Calibri"/>
          <w:b/>
          <w:bCs/>
          <w:color w:val="000000"/>
        </w:rPr>
        <w:t xml:space="preserve">  </w:t>
      </w:r>
    </w:p>
    <w:p w:rsidR="007E5299" w:rsidRPr="007879C8" w:rsidRDefault="007E5299" w:rsidP="006A162C">
      <w:pPr>
        <w:pStyle w:val="NormalWeb"/>
        <w:numPr>
          <w:ilvl w:val="0"/>
          <w:numId w:val="12"/>
        </w:numPr>
        <w:spacing w:before="0" w:beforeAutospacing="0" w:after="120" w:afterAutospacing="0"/>
        <w:textAlignment w:val="baseline"/>
        <w:rPr>
          <w:rFonts w:ascii="Calibri" w:hAnsi="Calibri" w:cs="Calibri"/>
          <w:color w:val="000000"/>
        </w:rPr>
      </w:pPr>
      <w:r w:rsidRPr="007879C8">
        <w:rPr>
          <w:rFonts w:ascii="Calibri" w:hAnsi="Calibri" w:cs="Calibri"/>
          <w:color w:val="000000"/>
        </w:rPr>
        <w:t xml:space="preserve">All the work streams are open </w:t>
      </w:r>
      <w:r w:rsidR="00175A05">
        <w:rPr>
          <w:rFonts w:ascii="Calibri" w:hAnsi="Calibri" w:cs="Calibri"/>
          <w:color w:val="000000"/>
        </w:rPr>
        <w:t xml:space="preserve">for </w:t>
      </w:r>
      <w:r w:rsidR="00175A05" w:rsidRPr="005E0248">
        <w:rPr>
          <w:rFonts w:ascii="Calibri" w:hAnsi="Calibri"/>
          <w:color w:val="000000"/>
        </w:rPr>
        <w:t>public and</w:t>
      </w:r>
      <w:r w:rsidR="00175A05">
        <w:rPr>
          <w:rFonts w:ascii="Calibri" w:hAnsi="Calibri" w:cs="Calibri"/>
          <w:color w:val="000000"/>
        </w:rPr>
        <w:t xml:space="preserve"> industry participation</w:t>
      </w:r>
      <w:r w:rsidR="007067E9">
        <w:rPr>
          <w:rFonts w:ascii="Calibri" w:hAnsi="Calibri" w:cs="Calibri"/>
          <w:color w:val="000000"/>
        </w:rPr>
        <w:t>. I</w:t>
      </w:r>
      <w:r w:rsidRPr="007879C8">
        <w:rPr>
          <w:rFonts w:ascii="Calibri" w:hAnsi="Calibri" w:cs="Calibri"/>
          <w:color w:val="000000"/>
        </w:rPr>
        <w:t>nterested participants can join</w:t>
      </w:r>
      <w:r w:rsidR="007067E9">
        <w:rPr>
          <w:rFonts w:ascii="Calibri" w:hAnsi="Calibri" w:cs="Calibri"/>
          <w:color w:val="000000"/>
        </w:rPr>
        <w:t xml:space="preserve"> the groups and mailing lists at</w:t>
      </w:r>
      <w:r w:rsidRPr="007879C8">
        <w:rPr>
          <w:rFonts w:ascii="Calibri" w:hAnsi="Calibri" w:cs="Calibri"/>
          <w:color w:val="000000"/>
        </w:rPr>
        <w:t xml:space="preserve">: </w:t>
      </w:r>
      <w:hyperlink r:id="rId9" w:history="1">
        <w:r w:rsidRPr="007879C8">
          <w:rPr>
            <w:rStyle w:val="Hyperlink"/>
            <w:rFonts w:ascii="Calibri" w:hAnsi="Calibri" w:cs="Calibri"/>
            <w:color w:val="1155CC"/>
          </w:rPr>
          <w:t>https://consumerdatastandards.org.au/workinggroups/</w:t>
        </w:r>
      </w:hyperlink>
      <w:r w:rsidRPr="007879C8">
        <w:rPr>
          <w:rFonts w:ascii="Calibri" w:hAnsi="Calibri" w:cs="Calibri"/>
          <w:color w:val="000000"/>
        </w:rPr>
        <w:t xml:space="preserve"> </w:t>
      </w:r>
    </w:p>
    <w:p w:rsidR="007E5299" w:rsidRDefault="007E5299" w:rsidP="007E5299">
      <w:pPr>
        <w:pStyle w:val="NormalWeb"/>
        <w:numPr>
          <w:ilvl w:val="0"/>
          <w:numId w:val="12"/>
        </w:numPr>
        <w:spacing w:before="0" w:beforeAutospacing="0" w:after="120" w:afterAutospacing="0"/>
        <w:textAlignment w:val="baseline"/>
        <w:rPr>
          <w:rFonts w:ascii="Calibri" w:hAnsi="Calibri" w:cs="Calibri"/>
          <w:color w:val="000000"/>
        </w:rPr>
      </w:pPr>
      <w:r w:rsidRPr="007879C8">
        <w:rPr>
          <w:rFonts w:ascii="Calibri" w:hAnsi="Calibri" w:cs="Calibri"/>
          <w:color w:val="000000"/>
        </w:rPr>
        <w:t>The work streams have used a combination of GitHub updates, teleconferences, workshops, bilateral conversations and email circulation of draft outputs to engage with stakeholders in the banking, FinTech, software vendor, consumer and regulatory communities throughout the process.</w:t>
      </w:r>
    </w:p>
    <w:p w:rsidR="00720791" w:rsidRDefault="00720791">
      <w:pPr>
        <w:spacing w:after="160" w:line="259" w:lineRule="auto"/>
        <w:rPr>
          <w:rFonts w:asciiTheme="minorHAnsi" w:eastAsia="Times New Roman" w:hAnsiTheme="minorHAnsi" w:cstheme="minorHAnsi"/>
          <w:b/>
          <w:bCs/>
          <w:sz w:val="32"/>
          <w:szCs w:val="32"/>
          <w:lang w:eastAsia="en-AU"/>
        </w:rPr>
      </w:pPr>
      <w:r>
        <w:br w:type="page"/>
      </w:r>
    </w:p>
    <w:p w:rsidR="007E5299" w:rsidRPr="007C0C06" w:rsidRDefault="007E5299" w:rsidP="007C0C06">
      <w:pPr>
        <w:pStyle w:val="Heading2"/>
      </w:pPr>
      <w:r w:rsidRPr="007C0C06">
        <w:lastRenderedPageBreak/>
        <w:t>The Working Drafts</w:t>
      </w:r>
    </w:p>
    <w:p w:rsidR="004C7D1C" w:rsidRDefault="007E5299" w:rsidP="007E5299">
      <w:pPr>
        <w:pStyle w:val="NormalWeb"/>
        <w:spacing w:before="0" w:beforeAutospacing="0" w:after="0" w:afterAutospacing="0"/>
        <w:rPr>
          <w:rFonts w:ascii="Calibri" w:hAnsi="Calibri" w:cs="Calibri"/>
          <w:color w:val="000000"/>
        </w:rPr>
      </w:pPr>
      <w:r w:rsidRPr="007879C8">
        <w:rPr>
          <w:rFonts w:ascii="Calibri" w:hAnsi="Calibri" w:cs="Calibri"/>
          <w:color w:val="000000"/>
        </w:rPr>
        <w:t xml:space="preserve">The </w:t>
      </w:r>
      <w:r w:rsidR="003342C3">
        <w:rPr>
          <w:rFonts w:ascii="Calibri" w:hAnsi="Calibri" w:cs="Calibri"/>
          <w:color w:val="000000"/>
        </w:rPr>
        <w:t>Interim Data Standards Body</w:t>
      </w:r>
      <w:r w:rsidRPr="007879C8">
        <w:rPr>
          <w:rFonts w:ascii="Calibri" w:hAnsi="Calibri" w:cs="Calibri"/>
          <w:color w:val="000000"/>
        </w:rPr>
        <w:t xml:space="preserve"> released its first overarching draft of the API specifications on 2nd November</w:t>
      </w:r>
      <w:r w:rsidR="007067E9">
        <w:rPr>
          <w:rFonts w:ascii="Calibri" w:hAnsi="Calibri" w:cs="Calibri"/>
          <w:color w:val="000000"/>
        </w:rPr>
        <w:t>,</w:t>
      </w:r>
      <w:r w:rsidRPr="007879C8">
        <w:rPr>
          <w:rFonts w:ascii="Calibri" w:hAnsi="Calibri" w:cs="Calibri"/>
          <w:color w:val="000000"/>
        </w:rPr>
        <w:t xml:space="preserve"> 2018</w:t>
      </w:r>
      <w:r>
        <w:rPr>
          <w:rFonts w:ascii="Calibri" w:hAnsi="Calibri" w:cs="Calibri"/>
          <w:color w:val="000000"/>
        </w:rPr>
        <w:t>, which was further updated and released on 20 December</w:t>
      </w:r>
      <w:r w:rsidR="005801D3">
        <w:rPr>
          <w:rFonts w:ascii="Calibri" w:hAnsi="Calibri" w:cs="Calibri"/>
          <w:color w:val="000000"/>
        </w:rPr>
        <w:t>,</w:t>
      </w:r>
      <w:r>
        <w:rPr>
          <w:rFonts w:ascii="Calibri" w:hAnsi="Calibri" w:cs="Calibri"/>
          <w:color w:val="000000"/>
        </w:rPr>
        <w:t xml:space="preserve"> 2018</w:t>
      </w:r>
      <w:r w:rsidRPr="007879C8">
        <w:rPr>
          <w:rFonts w:ascii="Calibri" w:hAnsi="Calibri" w:cs="Calibri"/>
          <w:color w:val="000000"/>
        </w:rPr>
        <w:t>. This</w:t>
      </w:r>
      <w:r w:rsidR="00F61DD0">
        <w:rPr>
          <w:rFonts w:ascii="Calibri" w:hAnsi="Calibri" w:cs="Calibri"/>
          <w:color w:val="000000"/>
        </w:rPr>
        <w:t xml:space="preserve"> current </w:t>
      </w:r>
      <w:r w:rsidRPr="007879C8">
        <w:rPr>
          <w:rFonts w:ascii="Calibri" w:hAnsi="Calibri" w:cs="Calibri"/>
          <w:color w:val="000000"/>
        </w:rPr>
        <w:t>draft</w:t>
      </w:r>
      <w:r w:rsidR="00F61DD0">
        <w:rPr>
          <w:rFonts w:ascii="Calibri" w:hAnsi="Calibri" w:cs="Calibri"/>
          <w:color w:val="000000"/>
        </w:rPr>
        <w:t xml:space="preserve"> released on </w:t>
      </w:r>
      <w:r w:rsidR="00F61DD0" w:rsidRPr="00F57DC9">
        <w:rPr>
          <w:rFonts w:ascii="Calibri" w:hAnsi="Calibri" w:cs="Calibri"/>
          <w:b/>
          <w:color w:val="000000"/>
        </w:rPr>
        <w:t>Friday 31 May, 2019</w:t>
      </w:r>
      <w:r w:rsidR="00F61DD0">
        <w:rPr>
          <w:rFonts w:ascii="Calibri" w:hAnsi="Calibri" w:cs="Calibri"/>
          <w:color w:val="000000"/>
        </w:rPr>
        <w:t xml:space="preserve"> will pull together all </w:t>
      </w:r>
      <w:r w:rsidR="0097305E">
        <w:rPr>
          <w:rFonts w:ascii="Calibri" w:hAnsi="Calibri" w:cs="Calibri"/>
          <w:color w:val="000000"/>
        </w:rPr>
        <w:t xml:space="preserve">the </w:t>
      </w:r>
      <w:r w:rsidR="00F61DD0">
        <w:rPr>
          <w:rFonts w:ascii="Calibri" w:hAnsi="Calibri" w:cs="Calibri"/>
          <w:color w:val="000000"/>
        </w:rPr>
        <w:t xml:space="preserve">issues to be included in the full draft. This </w:t>
      </w:r>
      <w:r w:rsidR="005C2DCD">
        <w:rPr>
          <w:rFonts w:ascii="Calibri" w:hAnsi="Calibri" w:cs="Calibri"/>
          <w:color w:val="000000"/>
        </w:rPr>
        <w:t>consolidates</w:t>
      </w:r>
      <w:r w:rsidRPr="007879C8">
        <w:rPr>
          <w:rFonts w:ascii="Calibri" w:hAnsi="Calibri" w:cs="Calibri"/>
          <w:color w:val="000000"/>
        </w:rPr>
        <w:t xml:space="preserve"> the </w:t>
      </w:r>
      <w:r w:rsidR="003F517F">
        <w:rPr>
          <w:rFonts w:ascii="Calibri" w:hAnsi="Calibri" w:cs="Calibri"/>
          <w:color w:val="000000"/>
        </w:rPr>
        <w:t>feedback obtained from 117 independent consultations on a wide range of topics resulting in</w:t>
      </w:r>
      <w:r w:rsidRPr="00313507">
        <w:rPr>
          <w:rFonts w:ascii="Calibri" w:hAnsi="Calibri" w:cs="Calibri"/>
          <w:color w:val="000000"/>
        </w:rPr>
        <w:t xml:space="preserve"> </w:t>
      </w:r>
      <w:r w:rsidR="003F517F" w:rsidRPr="00313507">
        <w:rPr>
          <w:rFonts w:ascii="Calibri" w:hAnsi="Calibri" w:cs="Calibri"/>
          <w:color w:val="000000"/>
        </w:rPr>
        <w:t xml:space="preserve">41 </w:t>
      </w:r>
      <w:r w:rsidRPr="00313507">
        <w:rPr>
          <w:rFonts w:ascii="Calibri" w:hAnsi="Calibri" w:cs="Calibri"/>
          <w:color w:val="000000"/>
        </w:rPr>
        <w:t>decision proposals</w:t>
      </w:r>
      <w:r w:rsidR="003F517F">
        <w:rPr>
          <w:rFonts w:ascii="Calibri" w:hAnsi="Calibri" w:cs="Calibri"/>
          <w:color w:val="000000"/>
        </w:rPr>
        <w:t xml:space="preserve"> and 47 final</w:t>
      </w:r>
      <w:r w:rsidRPr="007879C8">
        <w:rPr>
          <w:rFonts w:ascii="Calibri" w:hAnsi="Calibri" w:cs="Calibri"/>
          <w:color w:val="000000"/>
        </w:rPr>
        <w:t xml:space="preserve"> </w:t>
      </w:r>
      <w:r w:rsidR="003F517F">
        <w:rPr>
          <w:rFonts w:ascii="Calibri" w:hAnsi="Calibri" w:cs="Calibri"/>
          <w:color w:val="000000"/>
        </w:rPr>
        <w:t xml:space="preserve">decisions, </w:t>
      </w:r>
      <w:r w:rsidR="007067E9">
        <w:rPr>
          <w:rFonts w:ascii="Calibri" w:hAnsi="Calibri" w:cs="Calibri"/>
          <w:color w:val="000000"/>
        </w:rPr>
        <w:t xml:space="preserve">as well as </w:t>
      </w:r>
      <w:r w:rsidR="00F61DD0">
        <w:rPr>
          <w:rFonts w:ascii="Calibri" w:hAnsi="Calibri" w:cs="Calibri"/>
          <w:color w:val="000000"/>
        </w:rPr>
        <w:t>a series of admin</w:t>
      </w:r>
      <w:r w:rsidR="005C2DCD">
        <w:rPr>
          <w:rFonts w:ascii="Calibri" w:hAnsi="Calibri" w:cs="Calibri"/>
          <w:color w:val="000000"/>
        </w:rPr>
        <w:t>istrative</w:t>
      </w:r>
      <w:r w:rsidR="00F61DD0">
        <w:rPr>
          <w:rFonts w:ascii="Calibri" w:hAnsi="Calibri" w:cs="Calibri"/>
          <w:color w:val="000000"/>
        </w:rPr>
        <w:t xml:space="preserve"> proposal</w:t>
      </w:r>
      <w:r w:rsidR="005801D3">
        <w:rPr>
          <w:rFonts w:ascii="Calibri" w:hAnsi="Calibri" w:cs="Calibri"/>
          <w:color w:val="000000"/>
        </w:rPr>
        <w:t>s</w:t>
      </w:r>
      <w:r w:rsidR="00F61DD0">
        <w:rPr>
          <w:rFonts w:ascii="Calibri" w:hAnsi="Calibri" w:cs="Calibri"/>
          <w:color w:val="000000"/>
        </w:rPr>
        <w:t xml:space="preserve">. All </w:t>
      </w:r>
      <w:r w:rsidR="00EA3183">
        <w:rPr>
          <w:rFonts w:ascii="Calibri" w:hAnsi="Calibri" w:cs="Calibri"/>
          <w:color w:val="000000"/>
        </w:rPr>
        <w:t xml:space="preserve">this activity has occurred </w:t>
      </w:r>
      <w:r w:rsidRPr="007879C8">
        <w:rPr>
          <w:rFonts w:ascii="Calibri" w:hAnsi="Calibri" w:cs="Calibri"/>
          <w:color w:val="000000"/>
        </w:rPr>
        <w:t>open</w:t>
      </w:r>
      <w:r w:rsidR="002944EA">
        <w:rPr>
          <w:rFonts w:ascii="Calibri" w:hAnsi="Calibri" w:cs="Calibri"/>
          <w:color w:val="000000"/>
        </w:rPr>
        <w:t>ly</w:t>
      </w:r>
      <w:r w:rsidRPr="007879C8">
        <w:rPr>
          <w:rFonts w:ascii="Calibri" w:hAnsi="Calibri" w:cs="Calibri"/>
          <w:color w:val="000000"/>
        </w:rPr>
        <w:t xml:space="preserve"> via GitHub between July 2018 </w:t>
      </w:r>
      <w:r w:rsidR="007067E9">
        <w:rPr>
          <w:rFonts w:ascii="Calibri" w:hAnsi="Calibri" w:cs="Calibri"/>
          <w:color w:val="000000"/>
        </w:rPr>
        <w:t>and</w:t>
      </w:r>
      <w:r w:rsidR="007067E9" w:rsidRPr="007879C8">
        <w:rPr>
          <w:rFonts w:ascii="Calibri" w:hAnsi="Calibri" w:cs="Calibri"/>
          <w:color w:val="000000"/>
        </w:rPr>
        <w:t xml:space="preserve"> </w:t>
      </w:r>
      <w:r w:rsidR="00F61DD0">
        <w:rPr>
          <w:rFonts w:ascii="Calibri" w:hAnsi="Calibri" w:cs="Calibri"/>
          <w:color w:val="000000"/>
        </w:rPr>
        <w:t>May 2019</w:t>
      </w:r>
      <w:r w:rsidRPr="007879C8">
        <w:rPr>
          <w:rFonts w:ascii="Calibri" w:hAnsi="Calibri" w:cs="Calibri"/>
          <w:color w:val="000000"/>
        </w:rPr>
        <w:t xml:space="preserve">. </w:t>
      </w:r>
      <w:r w:rsidR="00EB238A">
        <w:rPr>
          <w:rFonts w:ascii="Calibri" w:hAnsi="Calibri" w:cs="Calibri"/>
          <w:color w:val="000000"/>
        </w:rPr>
        <w:t xml:space="preserve">This approach </w:t>
      </w:r>
      <w:r w:rsidR="00EA3183">
        <w:rPr>
          <w:rFonts w:ascii="Calibri" w:hAnsi="Calibri" w:cs="Calibri"/>
          <w:color w:val="000000"/>
        </w:rPr>
        <w:t>of on-going consultation</w:t>
      </w:r>
      <w:r w:rsidR="00EA3183" w:rsidRPr="007879C8">
        <w:rPr>
          <w:rFonts w:ascii="Calibri" w:hAnsi="Calibri" w:cs="Calibri"/>
          <w:color w:val="000000"/>
        </w:rPr>
        <w:t xml:space="preserve"> </w:t>
      </w:r>
      <w:r w:rsidR="00EB238A">
        <w:rPr>
          <w:rFonts w:ascii="Calibri" w:hAnsi="Calibri" w:cs="Calibri"/>
          <w:color w:val="000000"/>
        </w:rPr>
        <w:t xml:space="preserve">will continue for further drafts as we move into fully </w:t>
      </w:r>
      <w:r w:rsidR="005C2DCD">
        <w:rPr>
          <w:rFonts w:ascii="Calibri" w:hAnsi="Calibri" w:cs="Calibri"/>
          <w:color w:val="000000"/>
        </w:rPr>
        <w:t xml:space="preserve">implementable </w:t>
      </w:r>
      <w:r w:rsidR="00EB238A">
        <w:rPr>
          <w:rFonts w:ascii="Calibri" w:hAnsi="Calibri" w:cs="Calibri"/>
          <w:color w:val="000000"/>
        </w:rPr>
        <w:t>releases</w:t>
      </w:r>
      <w:r w:rsidRPr="007879C8">
        <w:rPr>
          <w:rFonts w:ascii="Calibri" w:hAnsi="Calibri" w:cs="Calibri"/>
          <w:color w:val="000000"/>
        </w:rPr>
        <w:t xml:space="preserve">. </w:t>
      </w:r>
    </w:p>
    <w:p w:rsidR="00BF094E" w:rsidRDefault="00BF094E" w:rsidP="007E5299">
      <w:pPr>
        <w:pStyle w:val="NormalWeb"/>
        <w:spacing w:before="0" w:beforeAutospacing="0" w:after="0" w:afterAutospacing="0"/>
        <w:rPr>
          <w:rFonts w:ascii="Calibri" w:hAnsi="Calibri" w:cs="Calibri"/>
          <w:color w:val="000000"/>
        </w:rPr>
      </w:pPr>
    </w:p>
    <w:p w:rsidR="007E5299" w:rsidRDefault="00F57DC9" w:rsidP="007E5299">
      <w:pPr>
        <w:pStyle w:val="NormalWeb"/>
        <w:spacing w:before="0" w:beforeAutospacing="0" w:after="0" w:afterAutospacing="0"/>
        <w:rPr>
          <w:rFonts w:ascii="Calibri" w:hAnsi="Calibri" w:cs="Calibri"/>
          <w:color w:val="000000"/>
        </w:rPr>
      </w:pPr>
      <w:r>
        <w:rPr>
          <w:rFonts w:ascii="Calibri" w:hAnsi="Calibri" w:cs="Calibri"/>
          <w:color w:val="000000"/>
        </w:rPr>
        <w:t xml:space="preserve">The </w:t>
      </w:r>
      <w:r w:rsidR="00C911EE">
        <w:rPr>
          <w:rFonts w:ascii="Calibri" w:hAnsi="Calibri" w:cs="Calibri"/>
          <w:color w:val="000000"/>
        </w:rPr>
        <w:t>Information Security profile is also published in this May 2019</w:t>
      </w:r>
      <w:r w:rsidR="004C7D1C">
        <w:rPr>
          <w:rFonts w:ascii="Calibri" w:hAnsi="Calibri" w:cs="Calibri"/>
          <w:color w:val="000000"/>
        </w:rPr>
        <w:t xml:space="preserve"> </w:t>
      </w:r>
      <w:r>
        <w:rPr>
          <w:rFonts w:ascii="Calibri" w:hAnsi="Calibri" w:cs="Calibri"/>
          <w:color w:val="000000"/>
        </w:rPr>
        <w:t xml:space="preserve">draft </w:t>
      </w:r>
      <w:r w:rsidR="00C911EE">
        <w:rPr>
          <w:rFonts w:ascii="Calibri" w:hAnsi="Calibri" w:cs="Calibri"/>
          <w:color w:val="000000"/>
        </w:rPr>
        <w:t xml:space="preserve">update.  The profile provides a baseline for implementation but also highlights several areas where further </w:t>
      </w:r>
      <w:r w:rsidR="00A063A7">
        <w:rPr>
          <w:rFonts w:ascii="Calibri" w:hAnsi="Calibri" w:cs="Calibri"/>
          <w:color w:val="000000"/>
        </w:rPr>
        <w:t xml:space="preserve">discussion </w:t>
      </w:r>
      <w:r w:rsidR="00EB238A">
        <w:rPr>
          <w:rFonts w:ascii="Calibri" w:hAnsi="Calibri" w:cs="Calibri"/>
          <w:color w:val="000000"/>
        </w:rPr>
        <w:t>is requested during the consultation phase</w:t>
      </w:r>
      <w:r w:rsidR="007E5299" w:rsidRPr="007879C8">
        <w:rPr>
          <w:rFonts w:ascii="Calibri" w:hAnsi="Calibri" w:cs="Calibri"/>
          <w:color w:val="000000"/>
        </w:rPr>
        <w:t xml:space="preserve">. </w:t>
      </w:r>
    </w:p>
    <w:p w:rsidR="009465B7" w:rsidRDefault="009465B7" w:rsidP="007E5299">
      <w:pPr>
        <w:pStyle w:val="NormalWeb"/>
        <w:spacing w:before="0" w:beforeAutospacing="0" w:after="0" w:afterAutospacing="0"/>
        <w:rPr>
          <w:rFonts w:ascii="Calibri" w:hAnsi="Calibri" w:cs="Calibri"/>
          <w:color w:val="000000"/>
        </w:rPr>
      </w:pPr>
    </w:p>
    <w:p w:rsidR="004C7D1C" w:rsidRDefault="00F57DC9" w:rsidP="007E5299">
      <w:pPr>
        <w:pStyle w:val="NormalWeb"/>
        <w:spacing w:before="0" w:beforeAutospacing="0" w:after="0" w:afterAutospacing="0"/>
        <w:rPr>
          <w:rFonts w:ascii="Calibri" w:hAnsi="Calibri" w:cs="Calibri"/>
          <w:color w:val="000000"/>
        </w:rPr>
      </w:pPr>
      <w:r>
        <w:rPr>
          <w:rFonts w:ascii="Calibri" w:hAnsi="Calibri" w:cs="Calibri"/>
          <w:color w:val="000000"/>
        </w:rPr>
        <w:t xml:space="preserve">The Christmas </w:t>
      </w:r>
      <w:r w:rsidR="00A063A7">
        <w:rPr>
          <w:rFonts w:ascii="Calibri" w:hAnsi="Calibri" w:cs="Calibri"/>
          <w:color w:val="000000"/>
        </w:rPr>
        <w:t xml:space="preserve">2018 </w:t>
      </w:r>
      <w:r>
        <w:rPr>
          <w:rFonts w:ascii="Calibri" w:hAnsi="Calibri" w:cs="Calibri"/>
          <w:color w:val="000000"/>
        </w:rPr>
        <w:t>draft outlined the preliminary work undertaken in the C</w:t>
      </w:r>
      <w:r w:rsidR="00BF094E">
        <w:rPr>
          <w:rFonts w:ascii="Calibri" w:hAnsi="Calibri" w:cs="Calibri"/>
          <w:color w:val="000000"/>
        </w:rPr>
        <w:t>X</w:t>
      </w:r>
      <w:r>
        <w:rPr>
          <w:rFonts w:ascii="Calibri" w:hAnsi="Calibri" w:cs="Calibri"/>
          <w:color w:val="000000"/>
        </w:rPr>
        <w:t xml:space="preserve"> workstream and the </w:t>
      </w:r>
      <w:r w:rsidRPr="005E0248">
        <w:rPr>
          <w:rFonts w:ascii="Calibri" w:hAnsi="Calibri"/>
          <w:color w:val="000000"/>
        </w:rPr>
        <w:t>current</w:t>
      </w:r>
      <w:r>
        <w:rPr>
          <w:rFonts w:ascii="Calibri" w:hAnsi="Calibri" w:cs="Calibri"/>
          <w:color w:val="000000"/>
        </w:rPr>
        <w:t xml:space="preserve"> draft will consolidate the outcomes of </w:t>
      </w:r>
      <w:r w:rsidR="009419BF">
        <w:rPr>
          <w:rFonts w:ascii="Calibri" w:hAnsi="Calibri" w:cs="Calibri"/>
          <w:color w:val="000000"/>
        </w:rPr>
        <w:t>P</w:t>
      </w:r>
      <w:r>
        <w:rPr>
          <w:rFonts w:ascii="Calibri" w:hAnsi="Calibri" w:cs="Calibri"/>
          <w:color w:val="000000"/>
        </w:rPr>
        <w:t xml:space="preserve">hase </w:t>
      </w:r>
      <w:r w:rsidR="00A063A7">
        <w:rPr>
          <w:rFonts w:ascii="Calibri" w:hAnsi="Calibri" w:cs="Calibri"/>
          <w:color w:val="000000"/>
        </w:rPr>
        <w:t xml:space="preserve">One </w:t>
      </w:r>
      <w:r>
        <w:rPr>
          <w:rFonts w:ascii="Calibri" w:hAnsi="Calibri" w:cs="Calibri"/>
          <w:color w:val="000000"/>
        </w:rPr>
        <w:t xml:space="preserve">and initial research </w:t>
      </w:r>
      <w:r w:rsidR="00FA5F1A">
        <w:rPr>
          <w:rFonts w:ascii="Calibri" w:hAnsi="Calibri" w:cs="Calibri"/>
          <w:color w:val="000000"/>
        </w:rPr>
        <w:t>results obtained</w:t>
      </w:r>
      <w:r>
        <w:rPr>
          <w:rFonts w:ascii="Calibri" w:hAnsi="Calibri" w:cs="Calibri"/>
          <w:color w:val="000000"/>
        </w:rPr>
        <w:t xml:space="preserve"> as part of the Phase </w:t>
      </w:r>
      <w:r w:rsidR="00A063A7">
        <w:rPr>
          <w:rFonts w:ascii="Calibri" w:hAnsi="Calibri" w:cs="Calibri"/>
          <w:color w:val="000000"/>
        </w:rPr>
        <w:t xml:space="preserve">Two </w:t>
      </w:r>
      <w:r>
        <w:rPr>
          <w:rFonts w:ascii="Calibri" w:hAnsi="Calibri" w:cs="Calibri"/>
          <w:color w:val="000000"/>
        </w:rPr>
        <w:t xml:space="preserve">CX </w:t>
      </w:r>
      <w:r w:rsidR="00FA5F1A">
        <w:rPr>
          <w:rFonts w:ascii="Calibri" w:hAnsi="Calibri" w:cs="Calibri"/>
          <w:color w:val="000000"/>
        </w:rPr>
        <w:t>research,</w:t>
      </w:r>
      <w:r>
        <w:rPr>
          <w:rFonts w:ascii="Calibri" w:hAnsi="Calibri" w:cs="Calibri"/>
          <w:color w:val="000000"/>
        </w:rPr>
        <w:t xml:space="preserve"> to be completed in late June</w:t>
      </w:r>
      <w:r w:rsidR="00A063A7">
        <w:rPr>
          <w:rFonts w:ascii="Calibri" w:hAnsi="Calibri" w:cs="Calibri"/>
          <w:color w:val="000000"/>
        </w:rPr>
        <w:t>, 2019</w:t>
      </w:r>
      <w:r>
        <w:rPr>
          <w:rFonts w:ascii="Calibri" w:hAnsi="Calibri" w:cs="Calibri"/>
          <w:color w:val="000000"/>
        </w:rPr>
        <w:t xml:space="preserve">. </w:t>
      </w:r>
    </w:p>
    <w:p w:rsidR="00BF094E" w:rsidRDefault="00BF094E" w:rsidP="007E5299">
      <w:pPr>
        <w:pStyle w:val="NormalWeb"/>
        <w:spacing w:before="0" w:beforeAutospacing="0" w:after="0" w:afterAutospacing="0"/>
        <w:rPr>
          <w:rFonts w:ascii="Calibri" w:hAnsi="Calibri" w:cs="Calibri"/>
          <w:color w:val="000000"/>
        </w:rPr>
      </w:pPr>
    </w:p>
    <w:p w:rsidR="003C7240" w:rsidRDefault="004B310D" w:rsidP="007E5299">
      <w:pPr>
        <w:pStyle w:val="NormalWeb"/>
        <w:spacing w:before="0" w:beforeAutospacing="0" w:after="0" w:afterAutospacing="0"/>
        <w:rPr>
          <w:rFonts w:ascii="Calibri" w:hAnsi="Calibri" w:cs="Calibri"/>
          <w:color w:val="000000"/>
        </w:rPr>
      </w:pPr>
      <w:r>
        <w:rPr>
          <w:rFonts w:ascii="Calibri" w:hAnsi="Calibri" w:cs="Calibri"/>
          <w:color w:val="000000"/>
        </w:rPr>
        <w:t xml:space="preserve">In January 2019 we also commenced an Engineering working </w:t>
      </w:r>
      <w:r w:rsidR="00151209">
        <w:rPr>
          <w:rFonts w:ascii="Calibri" w:hAnsi="Calibri" w:cs="Calibri"/>
          <w:color w:val="000000"/>
        </w:rPr>
        <w:t>g</w:t>
      </w:r>
      <w:r>
        <w:rPr>
          <w:rFonts w:ascii="Calibri" w:hAnsi="Calibri" w:cs="Calibri"/>
          <w:color w:val="000000"/>
        </w:rPr>
        <w:t xml:space="preserve">roup </w:t>
      </w:r>
      <w:r w:rsidR="00FA5F1A">
        <w:rPr>
          <w:rFonts w:ascii="Calibri" w:hAnsi="Calibri" w:cs="Calibri"/>
          <w:color w:val="000000"/>
        </w:rPr>
        <w:t xml:space="preserve">stream </w:t>
      </w:r>
      <w:r w:rsidR="00151209">
        <w:rPr>
          <w:rFonts w:ascii="Calibri" w:hAnsi="Calibri" w:cs="Calibri"/>
          <w:color w:val="000000"/>
        </w:rPr>
        <w:t>that</w:t>
      </w:r>
      <w:r>
        <w:rPr>
          <w:rFonts w:ascii="Calibri" w:hAnsi="Calibri" w:cs="Calibri"/>
          <w:color w:val="000000"/>
        </w:rPr>
        <w:t xml:space="preserve"> focus</w:t>
      </w:r>
      <w:r w:rsidR="00151209">
        <w:rPr>
          <w:rFonts w:ascii="Calibri" w:hAnsi="Calibri" w:cs="Calibri"/>
          <w:color w:val="000000"/>
        </w:rPr>
        <w:t>e</w:t>
      </w:r>
      <w:r w:rsidR="00FA5F1A">
        <w:rPr>
          <w:rFonts w:ascii="Calibri" w:hAnsi="Calibri" w:cs="Calibri"/>
          <w:color w:val="000000"/>
        </w:rPr>
        <w:t>s</w:t>
      </w:r>
      <w:r>
        <w:rPr>
          <w:rFonts w:ascii="Calibri" w:hAnsi="Calibri" w:cs="Calibri"/>
          <w:color w:val="000000"/>
        </w:rPr>
        <w:t xml:space="preserve"> on the development of tools and artefacts to support ecosystem participants in checking conformance of their build with the </w:t>
      </w:r>
      <w:r w:rsidR="003C7240">
        <w:rPr>
          <w:rFonts w:ascii="Calibri" w:hAnsi="Calibri" w:cs="Calibri"/>
          <w:color w:val="000000"/>
        </w:rPr>
        <w:t>standards.</w:t>
      </w:r>
      <w:r w:rsidR="004C7D1C">
        <w:rPr>
          <w:rFonts w:ascii="Calibri" w:hAnsi="Calibri" w:cs="Calibri"/>
          <w:color w:val="000000"/>
        </w:rPr>
        <w:t xml:space="preserve"> The Engineering workstream has been releasing artefacts through the GitHub site for feedback on a regular basis and these artefacts will support this </w:t>
      </w:r>
      <w:r w:rsidR="00A063A7">
        <w:rPr>
          <w:rFonts w:ascii="Calibri" w:hAnsi="Calibri" w:cs="Calibri"/>
          <w:color w:val="000000"/>
        </w:rPr>
        <w:t xml:space="preserve">current </w:t>
      </w:r>
      <w:r w:rsidR="00151209">
        <w:rPr>
          <w:rFonts w:ascii="Calibri" w:hAnsi="Calibri" w:cs="Calibri"/>
          <w:color w:val="000000"/>
        </w:rPr>
        <w:t>update</w:t>
      </w:r>
      <w:r w:rsidR="00D075C9">
        <w:rPr>
          <w:rFonts w:ascii="Calibri" w:hAnsi="Calibri" w:cs="Calibri"/>
          <w:color w:val="000000"/>
        </w:rPr>
        <w:t>d working</w:t>
      </w:r>
      <w:r w:rsidR="00151209">
        <w:rPr>
          <w:rFonts w:ascii="Calibri" w:hAnsi="Calibri" w:cs="Calibri"/>
          <w:color w:val="000000"/>
        </w:rPr>
        <w:t xml:space="preserve"> draft</w:t>
      </w:r>
      <w:r w:rsidR="004C7D1C">
        <w:rPr>
          <w:rFonts w:ascii="Calibri" w:hAnsi="Calibri" w:cs="Calibri"/>
          <w:color w:val="000000"/>
        </w:rPr>
        <w:t>.</w:t>
      </w:r>
    </w:p>
    <w:p w:rsidR="003C7240" w:rsidRDefault="003C7240" w:rsidP="007E5299">
      <w:pPr>
        <w:pStyle w:val="NormalWeb"/>
        <w:spacing w:before="0" w:beforeAutospacing="0" w:after="0" w:afterAutospacing="0"/>
        <w:rPr>
          <w:rFonts w:ascii="Calibri" w:hAnsi="Calibri" w:cs="Calibri"/>
          <w:color w:val="000000"/>
        </w:rPr>
      </w:pPr>
    </w:p>
    <w:p w:rsidR="003C7240" w:rsidRDefault="003C7240" w:rsidP="007E5299">
      <w:pPr>
        <w:pStyle w:val="NormalWeb"/>
        <w:spacing w:before="0" w:beforeAutospacing="0" w:after="0" w:afterAutospacing="0"/>
        <w:rPr>
          <w:rFonts w:ascii="Calibri" w:hAnsi="Calibri" w:cs="Calibri"/>
          <w:color w:val="000000"/>
        </w:rPr>
      </w:pPr>
      <w:r>
        <w:rPr>
          <w:rFonts w:ascii="Calibri" w:hAnsi="Calibri" w:cs="Calibri"/>
          <w:color w:val="000000"/>
        </w:rPr>
        <w:t>The previous and current draft</w:t>
      </w:r>
      <w:r w:rsidR="009739AE">
        <w:rPr>
          <w:rFonts w:ascii="Calibri" w:hAnsi="Calibri" w:cs="Calibri"/>
          <w:color w:val="000000"/>
        </w:rPr>
        <w:t>s</w:t>
      </w:r>
      <w:r>
        <w:rPr>
          <w:rFonts w:ascii="Calibri" w:hAnsi="Calibri" w:cs="Calibri"/>
          <w:color w:val="000000"/>
        </w:rPr>
        <w:t xml:space="preserve"> are aligned to the rules as released and will be further assessed when the registry design specification</w:t>
      </w:r>
      <w:r w:rsidR="004C7D1C">
        <w:rPr>
          <w:rFonts w:ascii="Calibri" w:hAnsi="Calibri" w:cs="Calibri"/>
          <w:color w:val="000000"/>
        </w:rPr>
        <w:t>s</w:t>
      </w:r>
      <w:r>
        <w:rPr>
          <w:rFonts w:ascii="Calibri" w:hAnsi="Calibri" w:cs="Calibri"/>
          <w:color w:val="000000"/>
        </w:rPr>
        <w:t xml:space="preserve"> are finalised and published</w:t>
      </w:r>
      <w:r w:rsidR="00D075C9">
        <w:rPr>
          <w:rFonts w:ascii="Calibri" w:hAnsi="Calibri" w:cs="Calibri"/>
          <w:color w:val="000000"/>
        </w:rPr>
        <w:t xml:space="preserve"> by ACCC</w:t>
      </w:r>
      <w:r>
        <w:rPr>
          <w:rFonts w:ascii="Calibri" w:hAnsi="Calibri" w:cs="Calibri"/>
          <w:color w:val="000000"/>
        </w:rPr>
        <w:t>.</w:t>
      </w:r>
    </w:p>
    <w:p w:rsidR="00EB238A" w:rsidRDefault="00EB238A" w:rsidP="007E5299">
      <w:pPr>
        <w:pStyle w:val="NormalWeb"/>
        <w:spacing w:before="0" w:beforeAutospacing="0" w:after="0" w:afterAutospacing="0"/>
        <w:rPr>
          <w:rFonts w:ascii="Calibri" w:hAnsi="Calibri" w:cs="Calibri"/>
          <w:color w:val="000000"/>
        </w:rPr>
      </w:pPr>
    </w:p>
    <w:p w:rsidR="00D525F1" w:rsidRDefault="00F6014E" w:rsidP="00D525F1">
      <w:pPr>
        <w:pStyle w:val="NormalWeb"/>
        <w:spacing w:before="0" w:beforeAutospacing="0" w:after="0" w:afterAutospacing="0"/>
        <w:rPr>
          <w:rFonts w:ascii="Calibri" w:hAnsi="Calibri" w:cs="Calibri"/>
          <w:color w:val="000000"/>
        </w:rPr>
      </w:pPr>
      <w:r>
        <w:rPr>
          <w:rFonts w:ascii="Calibri" w:hAnsi="Calibri" w:cs="Calibri"/>
          <w:color w:val="000000"/>
        </w:rPr>
        <w:t>Through GitHub we have received in excess of 500 interactions from the community across 93 individual contributors. In addition</w:t>
      </w:r>
      <w:r w:rsidR="006D34FD">
        <w:rPr>
          <w:rFonts w:ascii="Calibri" w:hAnsi="Calibri" w:cs="Calibri"/>
          <w:color w:val="000000"/>
        </w:rPr>
        <w:t>,</w:t>
      </w:r>
      <w:r>
        <w:rPr>
          <w:rFonts w:ascii="Calibri" w:hAnsi="Calibri" w:cs="Calibri"/>
          <w:color w:val="000000"/>
        </w:rPr>
        <w:t xml:space="preserve"> we have connected with </w:t>
      </w:r>
      <w:r w:rsidR="00D075C9">
        <w:rPr>
          <w:rFonts w:ascii="Calibri" w:hAnsi="Calibri" w:cs="Calibri"/>
          <w:color w:val="000000"/>
        </w:rPr>
        <w:t>more than</w:t>
      </w:r>
      <w:r>
        <w:rPr>
          <w:rFonts w:ascii="Calibri" w:hAnsi="Calibri" w:cs="Calibri"/>
          <w:color w:val="000000"/>
        </w:rPr>
        <w:t xml:space="preserve"> 400 interested parties through a series of workshops held in Sydney and Melbourne.</w:t>
      </w:r>
      <w:r w:rsidR="006D34FD">
        <w:rPr>
          <w:rFonts w:ascii="Calibri" w:hAnsi="Calibri" w:cs="Calibri"/>
          <w:color w:val="000000"/>
        </w:rPr>
        <w:t xml:space="preserve"> These have provided valuable input to the </w:t>
      </w:r>
      <w:r w:rsidR="00FA5F1A">
        <w:rPr>
          <w:rFonts w:ascii="Calibri" w:hAnsi="Calibri" w:cs="Calibri"/>
          <w:color w:val="000000"/>
        </w:rPr>
        <w:t xml:space="preserve">on-going </w:t>
      </w:r>
      <w:r w:rsidR="006D34FD">
        <w:rPr>
          <w:rFonts w:ascii="Calibri" w:hAnsi="Calibri" w:cs="Calibri"/>
          <w:color w:val="000000"/>
        </w:rPr>
        <w:t>development of the standards.</w:t>
      </w:r>
      <w:r w:rsidR="00D525F1">
        <w:rPr>
          <w:rFonts w:ascii="Calibri" w:hAnsi="Calibri" w:cs="Calibri"/>
          <w:color w:val="000000"/>
        </w:rPr>
        <w:t xml:space="preserve"> </w:t>
      </w:r>
    </w:p>
    <w:p w:rsidR="00417338" w:rsidRDefault="00417338">
      <w:pPr>
        <w:spacing w:after="160" w:line="259" w:lineRule="auto"/>
        <w:rPr>
          <w:rFonts w:asciiTheme="minorHAnsi" w:eastAsia="Times New Roman" w:hAnsiTheme="minorHAnsi" w:cstheme="minorHAnsi"/>
          <w:b/>
          <w:bCs/>
          <w:sz w:val="32"/>
          <w:szCs w:val="32"/>
          <w:lang w:eastAsia="en-AU"/>
        </w:rPr>
      </w:pPr>
      <w:r>
        <w:br w:type="page"/>
      </w:r>
    </w:p>
    <w:p w:rsidR="007E5299" w:rsidRDefault="007E5299" w:rsidP="006A162C">
      <w:pPr>
        <w:pStyle w:val="Heading2"/>
      </w:pPr>
      <w:r w:rsidRPr="00D525F1">
        <w:lastRenderedPageBreak/>
        <w:t>The components of the May</w:t>
      </w:r>
      <w:r w:rsidR="009739AE">
        <w:t xml:space="preserve"> 2019</w:t>
      </w:r>
      <w:r w:rsidRPr="00D525F1">
        <w:t xml:space="preserve"> updated draft</w:t>
      </w:r>
    </w:p>
    <w:p w:rsidR="007E5299" w:rsidRDefault="007E5299" w:rsidP="00B04A98">
      <w:pPr>
        <w:pStyle w:val="NormalWeb"/>
        <w:spacing w:before="0" w:beforeAutospacing="0" w:after="60" w:afterAutospacing="0"/>
        <w:rPr>
          <w:rFonts w:ascii="Calibri" w:hAnsi="Calibri" w:cs="Calibri"/>
          <w:color w:val="000000"/>
        </w:rPr>
      </w:pPr>
      <w:r w:rsidRPr="007879C8">
        <w:rPr>
          <w:rFonts w:ascii="Calibri" w:hAnsi="Calibri" w:cs="Calibri"/>
          <w:color w:val="000000"/>
        </w:rPr>
        <w:t xml:space="preserve">Since </w:t>
      </w:r>
      <w:r w:rsidR="00D075C9">
        <w:rPr>
          <w:rFonts w:ascii="Calibri" w:hAnsi="Calibri" w:cs="Calibri"/>
          <w:color w:val="000000"/>
        </w:rPr>
        <w:t xml:space="preserve">the </w:t>
      </w:r>
      <w:r>
        <w:rPr>
          <w:rFonts w:ascii="Calibri" w:hAnsi="Calibri" w:cs="Calibri"/>
          <w:color w:val="000000"/>
        </w:rPr>
        <w:t>20</w:t>
      </w:r>
      <w:r w:rsidRPr="007879C8">
        <w:rPr>
          <w:rFonts w:ascii="Calibri" w:hAnsi="Calibri" w:cs="Calibri"/>
          <w:color w:val="000000"/>
        </w:rPr>
        <w:t xml:space="preserve"> </w:t>
      </w:r>
      <w:r>
        <w:rPr>
          <w:rFonts w:ascii="Calibri" w:hAnsi="Calibri" w:cs="Calibri"/>
          <w:color w:val="000000"/>
        </w:rPr>
        <w:t>December</w:t>
      </w:r>
      <w:r w:rsidR="00D075C9">
        <w:rPr>
          <w:rFonts w:ascii="Calibri" w:hAnsi="Calibri" w:cs="Calibri"/>
          <w:color w:val="000000"/>
        </w:rPr>
        <w:t xml:space="preserve"> release</w:t>
      </w:r>
      <w:r w:rsidRPr="007879C8">
        <w:rPr>
          <w:rFonts w:ascii="Calibri" w:hAnsi="Calibri" w:cs="Calibri"/>
          <w:color w:val="000000"/>
        </w:rPr>
        <w:t>, work across every work stream has accelerated. We</w:t>
      </w:r>
      <w:r w:rsidR="00D075C9">
        <w:rPr>
          <w:rFonts w:ascii="Calibri" w:hAnsi="Calibri" w:cs="Calibri"/>
          <w:color w:val="000000"/>
        </w:rPr>
        <w:t xml:space="preserve"> a</w:t>
      </w:r>
      <w:r w:rsidRPr="007879C8">
        <w:rPr>
          <w:rFonts w:ascii="Calibri" w:hAnsi="Calibri" w:cs="Calibri"/>
          <w:color w:val="000000"/>
        </w:rPr>
        <w:t>re excited to be bringing together:</w:t>
      </w:r>
    </w:p>
    <w:p w:rsidR="0002069D" w:rsidRPr="00720791" w:rsidRDefault="007E5299" w:rsidP="00B04A98">
      <w:pPr>
        <w:pStyle w:val="NormalWeb"/>
        <w:numPr>
          <w:ilvl w:val="0"/>
          <w:numId w:val="13"/>
        </w:numPr>
        <w:spacing w:before="0" w:beforeAutospacing="0" w:after="0" w:afterAutospacing="0"/>
        <w:textAlignment w:val="baseline"/>
        <w:rPr>
          <w:rFonts w:asciiTheme="minorHAnsi" w:hAnsiTheme="minorHAnsi" w:cstheme="minorHAnsi"/>
          <w:b/>
          <w:bCs/>
          <w:color w:val="000000"/>
        </w:rPr>
      </w:pPr>
      <w:r w:rsidRPr="00D525F1">
        <w:rPr>
          <w:rFonts w:ascii="Calibri" w:hAnsi="Calibri" w:cs="Calibri"/>
          <w:b/>
          <w:bCs/>
          <w:color w:val="000000"/>
        </w:rPr>
        <w:t>Draft API Standards (v0.9.</w:t>
      </w:r>
      <w:r w:rsidR="00EA3183" w:rsidRPr="00D525F1">
        <w:rPr>
          <w:rFonts w:ascii="Calibri" w:hAnsi="Calibri" w:cs="Calibri"/>
          <w:b/>
          <w:bCs/>
          <w:color w:val="000000"/>
        </w:rPr>
        <w:t>3</w:t>
      </w:r>
      <w:r w:rsidRPr="00D525F1">
        <w:rPr>
          <w:rFonts w:ascii="Calibri" w:hAnsi="Calibri" w:cs="Calibri"/>
          <w:b/>
          <w:bCs/>
          <w:color w:val="000000"/>
        </w:rPr>
        <w:t>)</w:t>
      </w:r>
      <w:r w:rsidRPr="0002069D">
        <w:rPr>
          <w:rFonts w:ascii="Calibri" w:hAnsi="Calibri" w:cs="Calibri"/>
          <w:bCs/>
          <w:color w:val="000000"/>
        </w:rPr>
        <w:t xml:space="preserve"> </w:t>
      </w:r>
      <w:r w:rsidRPr="00493F04">
        <w:rPr>
          <w:rFonts w:ascii="Calibri" w:hAnsi="Calibri" w:cs="Calibri"/>
          <w:bCs/>
          <w:color w:val="000000"/>
        </w:rPr>
        <w:t>incorporating feedback from the 20 December draft together with additional Decision</w:t>
      </w:r>
      <w:r w:rsidR="00EA3183" w:rsidRPr="00493F04">
        <w:rPr>
          <w:rFonts w:ascii="Calibri" w:hAnsi="Calibri" w:cs="Calibri"/>
          <w:bCs/>
          <w:color w:val="000000"/>
        </w:rPr>
        <w:t>s</w:t>
      </w:r>
      <w:r w:rsidRPr="00493F04">
        <w:rPr>
          <w:rFonts w:ascii="Calibri" w:hAnsi="Calibri" w:cs="Calibri"/>
          <w:bCs/>
          <w:color w:val="000000"/>
        </w:rPr>
        <w:t xml:space="preserve"> Proposals </w:t>
      </w:r>
      <w:r w:rsidR="008E2CCB" w:rsidRPr="00493F04">
        <w:rPr>
          <w:rFonts w:ascii="Calibri" w:hAnsi="Calibri" w:cs="Calibri"/>
          <w:bCs/>
          <w:color w:val="000000"/>
        </w:rPr>
        <w:t xml:space="preserve">published </w:t>
      </w:r>
      <w:r w:rsidRPr="00493F04">
        <w:rPr>
          <w:rFonts w:ascii="Calibri" w:hAnsi="Calibri" w:cs="Calibri"/>
          <w:bCs/>
          <w:color w:val="000000"/>
        </w:rPr>
        <w:t>in the period Jan-May 2019</w:t>
      </w:r>
      <w:r w:rsidR="00D525F1" w:rsidRPr="00493F04">
        <w:rPr>
          <w:rFonts w:ascii="Calibri" w:hAnsi="Calibri" w:cs="Calibri"/>
          <w:bCs/>
          <w:color w:val="000000"/>
        </w:rPr>
        <w:t xml:space="preserve">.  </w:t>
      </w:r>
      <w:r w:rsidRPr="00493F04">
        <w:rPr>
          <w:rFonts w:ascii="Calibri" w:hAnsi="Calibri" w:cs="Calibri"/>
          <w:bCs/>
          <w:color w:val="000000"/>
        </w:rPr>
        <w:fldChar w:fldCharType="begin"/>
      </w:r>
      <w:r w:rsidRPr="00493F04">
        <w:rPr>
          <w:rFonts w:ascii="Calibri" w:hAnsi="Calibri" w:cs="Calibri"/>
          <w:bCs/>
          <w:color w:val="000000"/>
        </w:rPr>
        <w:fldChar w:fldCharType="separate"/>
      </w:r>
      <w:r w:rsidR="00EA3183" w:rsidRPr="00493F04">
        <w:rPr>
          <w:rFonts w:ascii="Calibri" w:hAnsi="Calibri" w:cs="Calibri"/>
          <w:bCs/>
          <w:color w:val="000000"/>
        </w:rPr>
        <w:t>https://consumerdatastandardsaustralia.github.io/standards</w:t>
      </w:r>
      <w:r w:rsidRPr="00493F04">
        <w:rPr>
          <w:rFonts w:ascii="Calibri" w:hAnsi="Calibri" w:cs="Calibri"/>
          <w:bCs/>
          <w:color w:val="000000"/>
        </w:rPr>
        <w:fldChar w:fldCharType="end"/>
      </w:r>
      <w:r w:rsidRPr="00493F04">
        <w:rPr>
          <w:rFonts w:ascii="Calibri" w:hAnsi="Calibri" w:cs="Calibri"/>
          <w:bCs/>
          <w:color w:val="000000"/>
        </w:rPr>
        <w:t xml:space="preserve"> </w:t>
      </w:r>
      <w:r w:rsidR="008E2CCB" w:rsidRPr="00493F04">
        <w:rPr>
          <w:rFonts w:ascii="Calibri" w:hAnsi="Calibri" w:cs="Calibri"/>
          <w:bCs/>
          <w:color w:val="000000"/>
        </w:rPr>
        <w:t>The draft API Standards can b</w:t>
      </w:r>
      <w:r w:rsidR="008E2CCB" w:rsidRPr="00720791">
        <w:rPr>
          <w:rFonts w:asciiTheme="minorHAnsi" w:hAnsiTheme="minorHAnsi" w:cstheme="minorHAnsi"/>
          <w:bCs/>
          <w:color w:val="000000"/>
        </w:rPr>
        <w:t xml:space="preserve">e </w:t>
      </w:r>
      <w:hyperlink r:id="rId10" w:anchor="/standards" w:history="1">
        <w:r w:rsidR="008E2CCB" w:rsidRPr="00720791">
          <w:rPr>
            <w:rFonts w:asciiTheme="minorHAnsi" w:hAnsiTheme="minorHAnsi" w:cstheme="minorHAnsi"/>
            <w:bCs/>
            <w:color w:val="000000"/>
          </w:rPr>
          <w:t>accessed via this link</w:t>
        </w:r>
      </w:hyperlink>
      <w:r w:rsidR="008E2CCB" w:rsidRPr="00720791">
        <w:rPr>
          <w:rFonts w:asciiTheme="minorHAnsi" w:hAnsiTheme="minorHAnsi" w:cstheme="minorHAnsi"/>
          <w:bCs/>
          <w:color w:val="000000"/>
        </w:rPr>
        <w:t xml:space="preserve">: </w:t>
      </w:r>
    </w:p>
    <w:p w:rsidR="005E0248" w:rsidRPr="00720791" w:rsidRDefault="00417338" w:rsidP="00720791">
      <w:pPr>
        <w:pStyle w:val="NormalWeb"/>
        <w:numPr>
          <w:ilvl w:val="1"/>
          <w:numId w:val="13"/>
        </w:numPr>
        <w:spacing w:before="0" w:beforeAutospacing="0" w:after="120" w:afterAutospacing="0"/>
        <w:textAlignment w:val="baseline"/>
        <w:rPr>
          <w:rStyle w:val="Hyperlink"/>
          <w:rFonts w:asciiTheme="minorHAnsi" w:hAnsiTheme="minorHAnsi" w:cstheme="minorHAnsi"/>
        </w:rPr>
      </w:pPr>
      <w:hyperlink r:id="rId11" w:anchor="standards" w:history="1">
        <w:r w:rsidR="0002069D" w:rsidRPr="00720791">
          <w:rPr>
            <w:rStyle w:val="Hyperlink"/>
            <w:rFonts w:asciiTheme="minorHAnsi" w:hAnsiTheme="minorHAnsi" w:cstheme="minorHAnsi"/>
          </w:rPr>
          <w:t>https://consumerdatastandardsaustralia.github.io/standards/#standards</w:t>
        </w:r>
      </w:hyperlink>
    </w:p>
    <w:p w:rsidR="000C17D8" w:rsidRPr="00FB2EB7" w:rsidRDefault="00D13284" w:rsidP="00B04A98">
      <w:pPr>
        <w:pStyle w:val="NormalWeb"/>
        <w:numPr>
          <w:ilvl w:val="0"/>
          <w:numId w:val="13"/>
        </w:numPr>
        <w:spacing w:before="0" w:beforeAutospacing="0" w:after="0" w:afterAutospacing="0"/>
        <w:textAlignment w:val="baseline"/>
        <w:rPr>
          <w:rFonts w:ascii="Calibri" w:hAnsi="Calibri" w:cs="Calibri"/>
          <w:bCs/>
          <w:color w:val="000000"/>
        </w:rPr>
      </w:pPr>
      <w:r>
        <w:rPr>
          <w:rFonts w:ascii="Calibri" w:hAnsi="Calibri" w:cs="Calibri"/>
          <w:b/>
          <w:bCs/>
          <w:color w:val="000000"/>
        </w:rPr>
        <w:t>D</w:t>
      </w:r>
      <w:r w:rsidR="007E5299" w:rsidRPr="008E2CCB">
        <w:rPr>
          <w:rFonts w:ascii="Calibri" w:hAnsi="Calibri" w:cs="Calibri"/>
          <w:b/>
          <w:bCs/>
          <w:color w:val="000000"/>
        </w:rPr>
        <w:t xml:space="preserve">raft </w:t>
      </w:r>
      <w:r>
        <w:rPr>
          <w:rFonts w:ascii="Calibri" w:hAnsi="Calibri" w:cs="Calibri"/>
          <w:b/>
          <w:bCs/>
          <w:color w:val="000000"/>
        </w:rPr>
        <w:t>I</w:t>
      </w:r>
      <w:r w:rsidR="007E5299" w:rsidRPr="008E2CCB">
        <w:rPr>
          <w:rFonts w:ascii="Calibri" w:hAnsi="Calibri" w:cs="Calibri"/>
          <w:b/>
          <w:bCs/>
          <w:color w:val="000000"/>
        </w:rPr>
        <w:t xml:space="preserve">nformation </w:t>
      </w:r>
      <w:r>
        <w:rPr>
          <w:rFonts w:ascii="Calibri" w:hAnsi="Calibri" w:cs="Calibri"/>
          <w:b/>
          <w:bCs/>
          <w:color w:val="000000"/>
        </w:rPr>
        <w:t>S</w:t>
      </w:r>
      <w:r w:rsidR="007E5299" w:rsidRPr="008E2CCB">
        <w:rPr>
          <w:rFonts w:ascii="Calibri" w:hAnsi="Calibri" w:cs="Calibri"/>
          <w:b/>
          <w:bCs/>
          <w:color w:val="000000"/>
        </w:rPr>
        <w:t xml:space="preserve">ecurity </w:t>
      </w:r>
      <w:r>
        <w:rPr>
          <w:rFonts w:ascii="Calibri" w:hAnsi="Calibri" w:cs="Calibri"/>
          <w:b/>
          <w:bCs/>
          <w:color w:val="000000"/>
        </w:rPr>
        <w:t>P</w:t>
      </w:r>
      <w:r w:rsidR="007E5299" w:rsidRPr="008E2CCB">
        <w:rPr>
          <w:rFonts w:ascii="Calibri" w:hAnsi="Calibri" w:cs="Calibri"/>
          <w:b/>
          <w:bCs/>
          <w:color w:val="000000"/>
        </w:rPr>
        <w:t>rofile</w:t>
      </w:r>
      <w:r w:rsidR="007E5299" w:rsidRPr="00FB2EB7">
        <w:rPr>
          <w:rFonts w:ascii="Calibri" w:hAnsi="Calibri" w:cs="Calibri"/>
          <w:b/>
          <w:bCs/>
          <w:color w:val="000000"/>
        </w:rPr>
        <w:t xml:space="preserve"> </w:t>
      </w:r>
      <w:r w:rsidR="007E5299" w:rsidRPr="00FB2EB7">
        <w:rPr>
          <w:rFonts w:ascii="Calibri" w:hAnsi="Calibri" w:cs="Calibri"/>
          <w:bCs/>
          <w:color w:val="000000"/>
        </w:rPr>
        <w:t>incorporating feedback from the 20 December release and alignment to the updated Rules release</w:t>
      </w:r>
      <w:r w:rsidR="009C6BB5">
        <w:rPr>
          <w:rFonts w:ascii="Calibri" w:hAnsi="Calibri" w:cs="Calibri"/>
          <w:bCs/>
          <w:color w:val="000000"/>
        </w:rPr>
        <w:t>d</w:t>
      </w:r>
      <w:r w:rsidR="007E5299" w:rsidRPr="00FB2EB7">
        <w:rPr>
          <w:rFonts w:ascii="Calibri" w:hAnsi="Calibri" w:cs="Calibri"/>
          <w:bCs/>
          <w:color w:val="000000"/>
        </w:rPr>
        <w:t xml:space="preserve"> by </w:t>
      </w:r>
      <w:r w:rsidR="00D075C9">
        <w:rPr>
          <w:rFonts w:ascii="Calibri" w:hAnsi="Calibri" w:cs="Calibri"/>
          <w:bCs/>
          <w:color w:val="000000"/>
        </w:rPr>
        <w:t xml:space="preserve">the </w:t>
      </w:r>
      <w:r w:rsidR="007E5299" w:rsidRPr="00FB2EB7">
        <w:rPr>
          <w:rFonts w:ascii="Calibri" w:hAnsi="Calibri" w:cs="Calibri"/>
          <w:bCs/>
          <w:color w:val="000000"/>
        </w:rPr>
        <w:t xml:space="preserve">ACCC. </w:t>
      </w:r>
      <w:r w:rsidR="00180ADD" w:rsidRPr="00FB2EB7">
        <w:rPr>
          <w:rFonts w:ascii="Calibri" w:hAnsi="Calibri" w:cs="Calibri"/>
          <w:bCs/>
          <w:color w:val="000000"/>
        </w:rPr>
        <w:t>As part</w:t>
      </w:r>
      <w:r w:rsidR="000C17D8" w:rsidRPr="00FB2EB7">
        <w:rPr>
          <w:rFonts w:ascii="Calibri" w:hAnsi="Calibri" w:cs="Calibri"/>
          <w:bCs/>
          <w:color w:val="000000"/>
        </w:rPr>
        <w:t xml:space="preserve"> of this publication we have highlighted a number of areas where we believe issues need further consideration and have asked for additional community input in four of those areas:</w:t>
      </w:r>
    </w:p>
    <w:p w:rsidR="006D34FD" w:rsidRPr="006A162C" w:rsidRDefault="006D34FD" w:rsidP="006A162C">
      <w:pPr>
        <w:pStyle w:val="NormalWeb"/>
        <w:numPr>
          <w:ilvl w:val="1"/>
          <w:numId w:val="13"/>
        </w:numPr>
        <w:spacing w:before="0" w:beforeAutospacing="0" w:after="0" w:afterAutospacing="0"/>
        <w:textAlignment w:val="baseline"/>
        <w:rPr>
          <w:rStyle w:val="Hyperlink"/>
          <w:rFonts w:asciiTheme="minorHAnsi" w:hAnsiTheme="minorHAnsi" w:cstheme="minorHAnsi"/>
          <w:color w:val="auto"/>
          <w:u w:val="none"/>
        </w:rPr>
      </w:pPr>
      <w:r w:rsidRPr="006A162C">
        <w:rPr>
          <w:rStyle w:val="Hyperlink"/>
          <w:rFonts w:asciiTheme="minorHAnsi" w:hAnsiTheme="minorHAnsi" w:cstheme="minorHAnsi"/>
          <w:color w:val="auto"/>
          <w:u w:val="none"/>
        </w:rPr>
        <w:t>Authorisation/Consent Flow</w:t>
      </w:r>
    </w:p>
    <w:p w:rsidR="006D34FD" w:rsidRPr="006A162C" w:rsidRDefault="006D34FD" w:rsidP="006A162C">
      <w:pPr>
        <w:pStyle w:val="NormalWeb"/>
        <w:numPr>
          <w:ilvl w:val="1"/>
          <w:numId w:val="13"/>
        </w:numPr>
        <w:spacing w:before="0" w:beforeAutospacing="0" w:after="0" w:afterAutospacing="0"/>
        <w:textAlignment w:val="baseline"/>
        <w:rPr>
          <w:rStyle w:val="Hyperlink"/>
          <w:rFonts w:asciiTheme="minorHAnsi" w:hAnsiTheme="minorHAnsi" w:cstheme="minorHAnsi"/>
          <w:color w:val="auto"/>
          <w:u w:val="none"/>
        </w:rPr>
      </w:pPr>
      <w:r w:rsidRPr="006A162C">
        <w:rPr>
          <w:rStyle w:val="Hyperlink"/>
          <w:rFonts w:asciiTheme="minorHAnsi" w:hAnsiTheme="minorHAnsi" w:cstheme="minorHAnsi"/>
          <w:color w:val="auto"/>
          <w:u w:val="none"/>
        </w:rPr>
        <w:t>Consent API inclusion</w:t>
      </w:r>
    </w:p>
    <w:p w:rsidR="006D34FD" w:rsidRPr="006A162C" w:rsidRDefault="006D34FD" w:rsidP="006A162C">
      <w:pPr>
        <w:pStyle w:val="NormalWeb"/>
        <w:numPr>
          <w:ilvl w:val="1"/>
          <w:numId w:val="13"/>
        </w:numPr>
        <w:spacing w:before="0" w:beforeAutospacing="0" w:after="0" w:afterAutospacing="0"/>
        <w:textAlignment w:val="baseline"/>
        <w:rPr>
          <w:rStyle w:val="Hyperlink"/>
          <w:rFonts w:asciiTheme="minorHAnsi" w:hAnsiTheme="minorHAnsi" w:cstheme="minorHAnsi"/>
          <w:color w:val="auto"/>
          <w:u w:val="none"/>
        </w:rPr>
      </w:pPr>
      <w:r w:rsidRPr="006A162C">
        <w:rPr>
          <w:rStyle w:val="Hyperlink"/>
          <w:rFonts w:asciiTheme="minorHAnsi" w:hAnsiTheme="minorHAnsi" w:cstheme="minorHAnsi"/>
          <w:color w:val="auto"/>
          <w:u w:val="none"/>
        </w:rPr>
        <w:t>Dynamic/static client registration</w:t>
      </w:r>
    </w:p>
    <w:p w:rsidR="006D34FD" w:rsidRPr="006A162C" w:rsidRDefault="006D34FD" w:rsidP="006A162C">
      <w:pPr>
        <w:pStyle w:val="NormalWeb"/>
        <w:numPr>
          <w:ilvl w:val="1"/>
          <w:numId w:val="13"/>
        </w:numPr>
        <w:spacing w:before="0" w:beforeAutospacing="0" w:after="120" w:afterAutospacing="0"/>
        <w:textAlignment w:val="baseline"/>
        <w:rPr>
          <w:rStyle w:val="Hyperlink"/>
          <w:rFonts w:asciiTheme="minorHAnsi" w:hAnsiTheme="minorHAnsi" w:cstheme="minorHAnsi"/>
          <w:color w:val="auto"/>
          <w:u w:val="none"/>
        </w:rPr>
      </w:pPr>
      <w:r w:rsidRPr="006A162C">
        <w:rPr>
          <w:rStyle w:val="Hyperlink"/>
          <w:rFonts w:asciiTheme="minorHAnsi" w:hAnsiTheme="minorHAnsi" w:cstheme="minorHAnsi"/>
          <w:color w:val="auto"/>
          <w:u w:val="none"/>
        </w:rPr>
        <w:t>Re-authorisation</w:t>
      </w:r>
    </w:p>
    <w:p w:rsidR="007E5299" w:rsidRPr="00BA46FE" w:rsidRDefault="007E5299" w:rsidP="00720791">
      <w:pPr>
        <w:pStyle w:val="NormalWeb"/>
        <w:spacing w:before="0" w:beforeAutospacing="0" w:after="120" w:afterAutospacing="0"/>
        <w:ind w:left="709"/>
        <w:textAlignment w:val="baseline"/>
        <w:rPr>
          <w:rFonts w:ascii="Calibri" w:hAnsi="Calibri" w:cs="Calibri"/>
          <w:bCs/>
          <w:color w:val="000000"/>
        </w:rPr>
      </w:pPr>
      <w:r>
        <w:rPr>
          <w:rFonts w:ascii="Calibri" w:hAnsi="Calibri" w:cs="Calibri"/>
          <w:bCs/>
          <w:color w:val="000000"/>
        </w:rPr>
        <w:t xml:space="preserve">The information security profile </w:t>
      </w:r>
      <w:r w:rsidR="006D34FD">
        <w:rPr>
          <w:rFonts w:ascii="Calibri" w:hAnsi="Calibri" w:cs="Calibri"/>
          <w:bCs/>
          <w:color w:val="000000"/>
        </w:rPr>
        <w:t xml:space="preserve">has </w:t>
      </w:r>
      <w:r w:rsidR="00D075C9">
        <w:rPr>
          <w:rFonts w:ascii="Calibri" w:hAnsi="Calibri" w:cs="Calibri"/>
          <w:bCs/>
          <w:color w:val="000000"/>
        </w:rPr>
        <w:t>undergone an initial review</w:t>
      </w:r>
      <w:r w:rsidR="006D34FD">
        <w:rPr>
          <w:rFonts w:ascii="Calibri" w:hAnsi="Calibri" w:cs="Calibri"/>
          <w:bCs/>
          <w:color w:val="000000"/>
        </w:rPr>
        <w:t xml:space="preserve"> by internal security teams</w:t>
      </w:r>
      <w:r w:rsidR="00D075C9">
        <w:rPr>
          <w:rFonts w:ascii="Calibri" w:hAnsi="Calibri" w:cs="Calibri"/>
          <w:bCs/>
          <w:color w:val="000000"/>
        </w:rPr>
        <w:t>.</w:t>
      </w:r>
      <w:r w:rsidR="006D34FD">
        <w:rPr>
          <w:rFonts w:ascii="Calibri" w:hAnsi="Calibri" w:cs="Calibri"/>
          <w:bCs/>
          <w:color w:val="000000"/>
        </w:rPr>
        <w:t xml:space="preserve"> </w:t>
      </w:r>
      <w:r w:rsidR="00D075C9">
        <w:rPr>
          <w:rFonts w:ascii="Calibri" w:hAnsi="Calibri" w:cs="Calibri"/>
          <w:bCs/>
          <w:color w:val="000000"/>
        </w:rPr>
        <w:t>A</w:t>
      </w:r>
      <w:r>
        <w:rPr>
          <w:rFonts w:ascii="Calibri" w:hAnsi="Calibri" w:cs="Calibri"/>
          <w:bCs/>
          <w:color w:val="000000"/>
        </w:rPr>
        <w:t xml:space="preserve"> further review </w:t>
      </w:r>
      <w:r w:rsidR="00D075C9">
        <w:rPr>
          <w:rFonts w:ascii="Calibri" w:hAnsi="Calibri" w:cs="Calibri"/>
          <w:bCs/>
          <w:color w:val="000000"/>
        </w:rPr>
        <w:t xml:space="preserve">will be undertaken </w:t>
      </w:r>
      <w:r>
        <w:rPr>
          <w:rFonts w:ascii="Calibri" w:hAnsi="Calibri" w:cs="Calibri"/>
          <w:bCs/>
          <w:color w:val="000000"/>
        </w:rPr>
        <w:t>by an independent group to ensure the profile continues to utilise accepted and safe practices.</w:t>
      </w:r>
    </w:p>
    <w:p w:rsidR="007E5299" w:rsidRPr="00630B94" w:rsidRDefault="00FB2EB7" w:rsidP="006A162C">
      <w:pPr>
        <w:pStyle w:val="NormalWeb"/>
        <w:numPr>
          <w:ilvl w:val="1"/>
          <w:numId w:val="13"/>
        </w:numPr>
        <w:spacing w:before="0" w:beforeAutospacing="0" w:after="120" w:afterAutospacing="0"/>
        <w:textAlignment w:val="baseline"/>
        <w:rPr>
          <w:rStyle w:val="Hyperlink"/>
          <w:rFonts w:ascii="Calibri" w:hAnsi="Calibri" w:cs="Calibri"/>
        </w:rPr>
      </w:pPr>
      <w:r w:rsidRPr="005E0248">
        <w:rPr>
          <w:rStyle w:val="Hyperlink"/>
          <w:rFonts w:ascii="Calibri" w:hAnsi="Calibri" w:cs="Calibri"/>
          <w:color w:val="auto"/>
          <w:u w:val="none"/>
        </w:rPr>
        <w:t xml:space="preserve">The draft </w:t>
      </w:r>
      <w:r w:rsidR="00D13284" w:rsidRPr="005E0248">
        <w:rPr>
          <w:rStyle w:val="Hyperlink"/>
          <w:rFonts w:ascii="Calibri" w:hAnsi="Calibri" w:cs="Calibri"/>
          <w:color w:val="auto"/>
          <w:u w:val="none"/>
        </w:rPr>
        <w:t>information security profile</w:t>
      </w:r>
      <w:r w:rsidRPr="005E0248">
        <w:rPr>
          <w:rStyle w:val="Hyperlink"/>
          <w:rFonts w:ascii="Calibri" w:hAnsi="Calibri" w:cs="Calibri"/>
          <w:color w:val="auto"/>
          <w:u w:val="none"/>
        </w:rPr>
        <w:t xml:space="preserve"> can be </w:t>
      </w:r>
      <w:r w:rsidR="00D13284" w:rsidRPr="005E0248">
        <w:rPr>
          <w:rStyle w:val="Hyperlink"/>
          <w:rFonts w:ascii="Calibri" w:hAnsi="Calibri" w:cs="Calibri"/>
          <w:color w:val="auto"/>
          <w:u w:val="none"/>
        </w:rPr>
        <w:t>accessed via this link</w:t>
      </w:r>
      <w:r w:rsidR="008E2CCB" w:rsidRPr="005E0248">
        <w:rPr>
          <w:rStyle w:val="Hyperlink"/>
          <w:rFonts w:ascii="Calibri" w:hAnsi="Calibri" w:cs="Calibri"/>
          <w:color w:val="auto"/>
          <w:u w:val="none"/>
        </w:rPr>
        <w:t>.</w:t>
      </w:r>
      <w:r>
        <w:rPr>
          <w:rStyle w:val="Hyperlink"/>
          <w:rFonts w:ascii="Calibri" w:hAnsi="Calibri" w:cs="Calibri"/>
          <w:color w:val="1155CC"/>
        </w:rPr>
        <w:br/>
      </w:r>
      <w:r w:rsidR="00630B94">
        <w:rPr>
          <w:rStyle w:val="Hyperlink"/>
          <w:rFonts w:ascii="Calibri" w:hAnsi="Calibri" w:cs="Calibri"/>
          <w:color w:val="1155CC"/>
        </w:rPr>
        <w:fldChar w:fldCharType="begin"/>
      </w:r>
      <w:r w:rsidR="00630B94">
        <w:rPr>
          <w:rStyle w:val="Hyperlink"/>
          <w:rFonts w:ascii="Calibri" w:hAnsi="Calibri" w:cs="Calibri"/>
          <w:color w:val="1155CC"/>
        </w:rPr>
        <w:instrText xml:space="preserve"> HYPERLINK "https://consumerdatastandardsaustralia.github.io/standards/" \l "security-profile" </w:instrText>
      </w:r>
      <w:r w:rsidR="00630B94">
        <w:rPr>
          <w:rStyle w:val="Hyperlink"/>
          <w:rFonts w:ascii="Calibri" w:hAnsi="Calibri" w:cs="Calibri"/>
          <w:color w:val="1155CC"/>
        </w:rPr>
        <w:fldChar w:fldCharType="separate"/>
      </w:r>
      <w:r w:rsidR="00630B94" w:rsidRPr="00630B94">
        <w:rPr>
          <w:rStyle w:val="Hyperlink"/>
          <w:rFonts w:ascii="Calibri" w:hAnsi="Calibri" w:cs="Calibri"/>
        </w:rPr>
        <w:t xml:space="preserve">https://consumerdatastandardsaustralia.github.io/standards/#security -profile </w:t>
      </w:r>
      <w:r w:rsidR="007E5299" w:rsidRPr="00630B94">
        <w:rPr>
          <w:rStyle w:val="Hyperlink"/>
          <w:rFonts w:ascii="Calibri" w:hAnsi="Calibri" w:cs="Calibri"/>
        </w:rPr>
        <w:t xml:space="preserve"> </w:t>
      </w:r>
    </w:p>
    <w:p w:rsidR="007E5299" w:rsidRPr="007879C8" w:rsidRDefault="00630B94" w:rsidP="006A162C">
      <w:pPr>
        <w:pStyle w:val="NormalWeb"/>
        <w:numPr>
          <w:ilvl w:val="0"/>
          <w:numId w:val="13"/>
        </w:numPr>
        <w:spacing w:before="0" w:beforeAutospacing="0" w:after="120" w:afterAutospacing="0"/>
        <w:textAlignment w:val="baseline"/>
        <w:rPr>
          <w:rFonts w:ascii="Calibri" w:hAnsi="Calibri" w:cs="Calibri"/>
          <w:b/>
          <w:bCs/>
          <w:color w:val="000000"/>
        </w:rPr>
      </w:pPr>
      <w:r>
        <w:rPr>
          <w:rStyle w:val="Hyperlink"/>
          <w:rFonts w:ascii="Calibri" w:hAnsi="Calibri" w:cs="Calibri"/>
          <w:color w:val="1155CC"/>
        </w:rPr>
        <w:fldChar w:fldCharType="end"/>
      </w:r>
      <w:r w:rsidR="007E5299" w:rsidRPr="007879C8">
        <w:rPr>
          <w:rFonts w:ascii="Calibri" w:hAnsi="Calibri" w:cs="Calibri"/>
          <w:b/>
          <w:bCs/>
          <w:color w:val="000000"/>
        </w:rPr>
        <w:t>A</w:t>
      </w:r>
      <w:r w:rsidR="00941D8E">
        <w:rPr>
          <w:rFonts w:ascii="Calibri" w:hAnsi="Calibri" w:cs="Calibri"/>
          <w:b/>
          <w:bCs/>
          <w:color w:val="000000"/>
        </w:rPr>
        <w:t>n</w:t>
      </w:r>
      <w:r w:rsidR="007E5299" w:rsidRPr="007879C8">
        <w:rPr>
          <w:rFonts w:ascii="Calibri" w:hAnsi="Calibri" w:cs="Calibri"/>
          <w:b/>
          <w:bCs/>
          <w:color w:val="000000"/>
        </w:rPr>
        <w:t xml:space="preserve"> </w:t>
      </w:r>
      <w:r w:rsidR="007E5299">
        <w:rPr>
          <w:rFonts w:ascii="Calibri" w:hAnsi="Calibri" w:cs="Calibri"/>
          <w:b/>
          <w:bCs/>
          <w:color w:val="000000"/>
        </w:rPr>
        <w:t xml:space="preserve">outline of the </w:t>
      </w:r>
      <w:r w:rsidR="006D34FD">
        <w:rPr>
          <w:rFonts w:ascii="Calibri" w:hAnsi="Calibri" w:cs="Calibri"/>
          <w:b/>
          <w:bCs/>
          <w:color w:val="000000"/>
        </w:rPr>
        <w:t>final finding</w:t>
      </w:r>
      <w:r w:rsidR="00DE22AA">
        <w:rPr>
          <w:rFonts w:ascii="Calibri" w:hAnsi="Calibri" w:cs="Calibri"/>
          <w:b/>
          <w:bCs/>
          <w:color w:val="000000"/>
        </w:rPr>
        <w:t>s</w:t>
      </w:r>
      <w:r w:rsidR="006D34FD">
        <w:rPr>
          <w:rFonts w:ascii="Calibri" w:hAnsi="Calibri" w:cs="Calibri"/>
          <w:b/>
          <w:bCs/>
          <w:color w:val="000000"/>
        </w:rPr>
        <w:t xml:space="preserve"> of the Phase </w:t>
      </w:r>
      <w:r w:rsidR="00D075C9">
        <w:rPr>
          <w:rFonts w:ascii="Calibri" w:hAnsi="Calibri" w:cs="Calibri"/>
          <w:b/>
          <w:bCs/>
          <w:color w:val="000000"/>
        </w:rPr>
        <w:t xml:space="preserve">One </w:t>
      </w:r>
      <w:r w:rsidR="006D34FD">
        <w:rPr>
          <w:rFonts w:ascii="Calibri" w:hAnsi="Calibri" w:cs="Calibri"/>
          <w:b/>
          <w:bCs/>
          <w:color w:val="000000"/>
        </w:rPr>
        <w:t xml:space="preserve">research and </w:t>
      </w:r>
      <w:r w:rsidR="007E5299">
        <w:rPr>
          <w:rFonts w:ascii="Calibri" w:hAnsi="Calibri" w:cs="Calibri"/>
          <w:b/>
          <w:bCs/>
          <w:color w:val="000000"/>
        </w:rPr>
        <w:t xml:space="preserve">status </w:t>
      </w:r>
      <w:r w:rsidR="006D34FD">
        <w:rPr>
          <w:rFonts w:ascii="Calibri" w:hAnsi="Calibri" w:cs="Calibri"/>
          <w:b/>
          <w:bCs/>
          <w:color w:val="000000"/>
        </w:rPr>
        <w:t>update</w:t>
      </w:r>
      <w:r w:rsidR="00DE22AA">
        <w:rPr>
          <w:rFonts w:ascii="Calibri" w:hAnsi="Calibri" w:cs="Calibri"/>
          <w:b/>
          <w:bCs/>
          <w:color w:val="000000"/>
        </w:rPr>
        <w:t>s</w:t>
      </w:r>
      <w:r w:rsidR="006D34FD">
        <w:rPr>
          <w:rFonts w:ascii="Calibri" w:hAnsi="Calibri" w:cs="Calibri"/>
          <w:b/>
          <w:bCs/>
          <w:color w:val="000000"/>
        </w:rPr>
        <w:t xml:space="preserve"> </w:t>
      </w:r>
      <w:r w:rsidR="007E5299">
        <w:rPr>
          <w:rFonts w:ascii="Calibri" w:hAnsi="Calibri" w:cs="Calibri"/>
          <w:b/>
          <w:bCs/>
          <w:color w:val="000000"/>
        </w:rPr>
        <w:t xml:space="preserve">of Phase </w:t>
      </w:r>
      <w:r w:rsidR="00D075C9">
        <w:rPr>
          <w:rFonts w:ascii="Calibri" w:hAnsi="Calibri" w:cs="Calibri"/>
          <w:b/>
          <w:bCs/>
          <w:color w:val="000000"/>
        </w:rPr>
        <w:t xml:space="preserve">Two </w:t>
      </w:r>
      <w:r w:rsidR="007E5299">
        <w:rPr>
          <w:rFonts w:ascii="Calibri" w:hAnsi="Calibri" w:cs="Calibri"/>
          <w:b/>
          <w:bCs/>
          <w:color w:val="000000"/>
        </w:rPr>
        <w:t>C</w:t>
      </w:r>
      <w:r w:rsidR="00BF094E">
        <w:rPr>
          <w:rFonts w:ascii="Calibri" w:hAnsi="Calibri" w:cs="Calibri"/>
          <w:b/>
          <w:bCs/>
          <w:color w:val="000000"/>
        </w:rPr>
        <w:t>X</w:t>
      </w:r>
      <w:r w:rsidR="007E5299">
        <w:rPr>
          <w:rFonts w:ascii="Calibri" w:hAnsi="Calibri" w:cs="Calibri"/>
          <w:b/>
          <w:bCs/>
          <w:color w:val="000000"/>
        </w:rPr>
        <w:t xml:space="preserve"> research</w:t>
      </w:r>
      <w:r w:rsidR="00D075C9">
        <w:rPr>
          <w:rFonts w:ascii="Calibri" w:hAnsi="Calibri" w:cs="Calibri"/>
          <w:b/>
          <w:bCs/>
          <w:color w:val="000000"/>
        </w:rPr>
        <w:t>,</w:t>
      </w:r>
      <w:r w:rsidR="007E5299">
        <w:rPr>
          <w:rFonts w:ascii="Calibri" w:hAnsi="Calibri" w:cs="Calibri"/>
          <w:b/>
          <w:bCs/>
          <w:color w:val="000000"/>
        </w:rPr>
        <w:t xml:space="preserve"> currently being undertaken by the Consumer Data Standards team and three agencies.</w:t>
      </w:r>
      <w:r w:rsidR="007E5299" w:rsidRPr="007879C8">
        <w:rPr>
          <w:rFonts w:ascii="Calibri" w:hAnsi="Calibri" w:cs="Calibri"/>
          <w:b/>
          <w:bCs/>
          <w:color w:val="000000"/>
        </w:rPr>
        <w:t xml:space="preserve"> </w:t>
      </w:r>
      <w:r w:rsidR="007E5299" w:rsidRPr="00BA46FE">
        <w:rPr>
          <w:rFonts w:ascii="Calibri" w:hAnsi="Calibri" w:cs="Calibri"/>
          <w:bCs/>
          <w:color w:val="000000"/>
        </w:rPr>
        <w:t>Th</w:t>
      </w:r>
      <w:r w:rsidR="006D34FD">
        <w:rPr>
          <w:rFonts w:ascii="Calibri" w:hAnsi="Calibri" w:cs="Calibri"/>
          <w:bCs/>
          <w:color w:val="000000"/>
        </w:rPr>
        <w:t xml:space="preserve">e current work is informed by </w:t>
      </w:r>
      <w:r w:rsidR="007E5299" w:rsidRPr="00BA46FE">
        <w:rPr>
          <w:rFonts w:ascii="Calibri" w:hAnsi="Calibri" w:cs="Calibri"/>
          <w:bCs/>
          <w:color w:val="000000"/>
        </w:rPr>
        <w:t xml:space="preserve">the findings of the Phase </w:t>
      </w:r>
      <w:r w:rsidR="00D075C9">
        <w:rPr>
          <w:rFonts w:ascii="Calibri" w:hAnsi="Calibri" w:cs="Calibri"/>
          <w:bCs/>
          <w:color w:val="000000"/>
        </w:rPr>
        <w:t>One</w:t>
      </w:r>
      <w:r w:rsidR="00D075C9" w:rsidRPr="00BA46FE">
        <w:rPr>
          <w:rFonts w:ascii="Calibri" w:hAnsi="Calibri" w:cs="Calibri"/>
          <w:bCs/>
          <w:color w:val="000000"/>
        </w:rPr>
        <w:t xml:space="preserve"> </w:t>
      </w:r>
      <w:r w:rsidR="007E5299" w:rsidRPr="00BA46FE">
        <w:rPr>
          <w:rFonts w:ascii="Calibri" w:hAnsi="Calibri" w:cs="Calibri"/>
          <w:bCs/>
          <w:color w:val="000000"/>
        </w:rPr>
        <w:t xml:space="preserve">work completed in early 2019 and </w:t>
      </w:r>
      <w:r w:rsidR="007E5299" w:rsidRPr="007879C8">
        <w:rPr>
          <w:rFonts w:ascii="Calibri" w:hAnsi="Calibri" w:cs="Calibri"/>
          <w:color w:val="000000"/>
        </w:rPr>
        <w:t xml:space="preserve">following </w:t>
      </w:r>
      <w:r w:rsidR="007E5299">
        <w:rPr>
          <w:rFonts w:ascii="Calibri" w:hAnsi="Calibri" w:cs="Calibri"/>
          <w:color w:val="000000"/>
        </w:rPr>
        <w:t xml:space="preserve">on-going </w:t>
      </w:r>
      <w:r w:rsidR="007E5299" w:rsidRPr="007879C8">
        <w:rPr>
          <w:rFonts w:ascii="Calibri" w:hAnsi="Calibri" w:cs="Calibri"/>
          <w:color w:val="000000"/>
        </w:rPr>
        <w:t>feedback from the CX workstream participants</w:t>
      </w:r>
    </w:p>
    <w:p w:rsidR="00DE22AA" w:rsidRPr="00720791" w:rsidRDefault="00417338" w:rsidP="007E5299">
      <w:pPr>
        <w:pStyle w:val="NormalWeb"/>
        <w:numPr>
          <w:ilvl w:val="1"/>
          <w:numId w:val="13"/>
        </w:numPr>
        <w:spacing w:before="0" w:beforeAutospacing="0" w:after="0" w:afterAutospacing="0"/>
        <w:textAlignment w:val="baseline"/>
        <w:rPr>
          <w:rFonts w:ascii="Calibri" w:hAnsi="Calibri" w:cs="Calibri"/>
          <w:color w:val="000000"/>
        </w:rPr>
      </w:pPr>
      <w:hyperlink r:id="rId12" w:history="1">
        <w:r w:rsidR="00DE22AA" w:rsidRPr="00720791">
          <w:rPr>
            <w:rStyle w:val="Hyperlink"/>
            <w:rFonts w:ascii="Calibri" w:hAnsi="Calibri" w:cs="Calibri"/>
          </w:rPr>
          <w:t>https://consumerdatastandards.org.au/category/cx/</w:t>
        </w:r>
      </w:hyperlink>
    </w:p>
    <w:p w:rsidR="007E5299" w:rsidRPr="00720791" w:rsidRDefault="00417338" w:rsidP="006A162C">
      <w:pPr>
        <w:pStyle w:val="NormalWeb"/>
        <w:numPr>
          <w:ilvl w:val="1"/>
          <w:numId w:val="13"/>
        </w:numPr>
        <w:spacing w:before="0" w:beforeAutospacing="0" w:after="120" w:afterAutospacing="0"/>
        <w:textAlignment w:val="baseline"/>
        <w:rPr>
          <w:rFonts w:ascii="Calibri" w:hAnsi="Calibri" w:cs="Calibri"/>
          <w:color w:val="000000"/>
        </w:rPr>
      </w:pPr>
      <w:hyperlink r:id="rId13" w:history="1">
        <w:r w:rsidR="00DE22AA" w:rsidRPr="00720791">
          <w:rPr>
            <w:rStyle w:val="Hyperlink"/>
            <w:rFonts w:ascii="Calibri" w:hAnsi="Calibri" w:cs="Calibri"/>
          </w:rPr>
          <w:t>https://consumerdatastandards.org.au/reports/</w:t>
        </w:r>
      </w:hyperlink>
      <w:r w:rsidR="007E5299" w:rsidRPr="00720791">
        <w:rPr>
          <w:rFonts w:ascii="Calibri" w:hAnsi="Calibri" w:cs="Calibri"/>
          <w:color w:val="000000"/>
        </w:rPr>
        <w:t xml:space="preserve"> </w:t>
      </w:r>
    </w:p>
    <w:p w:rsidR="007E5299" w:rsidRPr="004B5208" w:rsidRDefault="007E5299" w:rsidP="006A162C">
      <w:pPr>
        <w:pStyle w:val="NormalWeb"/>
        <w:numPr>
          <w:ilvl w:val="0"/>
          <w:numId w:val="15"/>
        </w:numPr>
        <w:spacing w:before="0" w:beforeAutospacing="0" w:after="120" w:afterAutospacing="0"/>
        <w:rPr>
          <w:rFonts w:ascii="Calibri" w:hAnsi="Calibri" w:cs="Calibri"/>
          <w:color w:val="000000"/>
        </w:rPr>
      </w:pPr>
      <w:r>
        <w:rPr>
          <w:rFonts w:ascii="Calibri" w:hAnsi="Calibri" w:cs="Calibri"/>
          <w:b/>
          <w:color w:val="000000"/>
        </w:rPr>
        <w:t xml:space="preserve">A </w:t>
      </w:r>
      <w:r w:rsidR="00D075C9">
        <w:rPr>
          <w:rFonts w:ascii="Calibri" w:hAnsi="Calibri" w:cs="Calibri"/>
          <w:b/>
          <w:color w:val="000000"/>
        </w:rPr>
        <w:t xml:space="preserve">status </w:t>
      </w:r>
      <w:r>
        <w:rPr>
          <w:rFonts w:ascii="Calibri" w:hAnsi="Calibri" w:cs="Calibri"/>
          <w:b/>
          <w:color w:val="000000"/>
        </w:rPr>
        <w:t xml:space="preserve">summary of the of the Engineering workstream </w:t>
      </w:r>
      <w:r w:rsidR="00941D8E">
        <w:rPr>
          <w:rFonts w:ascii="Calibri" w:hAnsi="Calibri" w:cs="Calibri"/>
          <w:b/>
          <w:color w:val="000000"/>
        </w:rPr>
        <w:t xml:space="preserve">that is providing a software framework and </w:t>
      </w:r>
      <w:r>
        <w:rPr>
          <w:rFonts w:ascii="Calibri" w:hAnsi="Calibri" w:cs="Calibri"/>
          <w:b/>
          <w:color w:val="000000"/>
        </w:rPr>
        <w:t>develop</w:t>
      </w:r>
      <w:r w:rsidR="00941D8E">
        <w:rPr>
          <w:rFonts w:ascii="Calibri" w:hAnsi="Calibri" w:cs="Calibri"/>
          <w:b/>
          <w:color w:val="000000"/>
        </w:rPr>
        <w:t>mental</w:t>
      </w:r>
      <w:r>
        <w:rPr>
          <w:rFonts w:ascii="Calibri" w:hAnsi="Calibri" w:cs="Calibri"/>
          <w:b/>
          <w:color w:val="000000"/>
        </w:rPr>
        <w:t xml:space="preserve"> support for participants to assess technical conformance.</w:t>
      </w:r>
    </w:p>
    <w:p w:rsidR="007E5299" w:rsidRPr="006A162C" w:rsidRDefault="00417338" w:rsidP="006A162C">
      <w:pPr>
        <w:pStyle w:val="NormalWeb"/>
        <w:numPr>
          <w:ilvl w:val="1"/>
          <w:numId w:val="13"/>
        </w:numPr>
        <w:spacing w:before="0" w:beforeAutospacing="0" w:after="0" w:afterAutospacing="0"/>
        <w:textAlignment w:val="baseline"/>
        <w:rPr>
          <w:rStyle w:val="Hyperlink"/>
          <w:rFonts w:asciiTheme="minorHAnsi" w:hAnsiTheme="minorHAnsi"/>
        </w:rPr>
      </w:pPr>
      <w:hyperlink r:id="rId14" w:history="1">
        <w:r w:rsidR="00C25081" w:rsidRPr="006A162C">
          <w:rPr>
            <w:rStyle w:val="Hyperlink"/>
            <w:rFonts w:asciiTheme="minorHAnsi" w:hAnsiTheme="minorHAnsi"/>
          </w:rPr>
          <w:t>https://consumerdatastandardsaustralia.github.io/engineering/</w:t>
        </w:r>
      </w:hyperlink>
    </w:p>
    <w:p w:rsidR="006D34FD" w:rsidRDefault="006D34FD" w:rsidP="007E5299">
      <w:pPr>
        <w:pStyle w:val="NormalWeb"/>
        <w:spacing w:before="0" w:beforeAutospacing="0" w:after="0" w:afterAutospacing="0"/>
        <w:rPr>
          <w:rFonts w:ascii="Calibri" w:hAnsi="Calibri" w:cs="Calibri"/>
          <w:color w:val="000000"/>
        </w:rPr>
      </w:pPr>
    </w:p>
    <w:p w:rsidR="007E5299" w:rsidRDefault="007E5299" w:rsidP="007E5299">
      <w:pPr>
        <w:pStyle w:val="NormalWeb"/>
        <w:spacing w:before="0" w:beforeAutospacing="0" w:after="0" w:afterAutospacing="0"/>
        <w:rPr>
          <w:rFonts w:ascii="Calibri" w:hAnsi="Calibri" w:cs="Calibri"/>
          <w:color w:val="000000"/>
        </w:rPr>
      </w:pPr>
      <w:r w:rsidRPr="007879C8">
        <w:rPr>
          <w:rFonts w:ascii="Calibri" w:hAnsi="Calibri" w:cs="Calibri"/>
          <w:color w:val="000000"/>
        </w:rPr>
        <w:t xml:space="preserve">These </w:t>
      </w:r>
      <w:r>
        <w:rPr>
          <w:rFonts w:ascii="Calibri" w:hAnsi="Calibri" w:cs="Calibri"/>
          <w:color w:val="000000"/>
        </w:rPr>
        <w:t>continue to be “</w:t>
      </w:r>
      <w:r w:rsidRPr="007879C8">
        <w:rPr>
          <w:rFonts w:ascii="Calibri" w:hAnsi="Calibri" w:cs="Calibri"/>
          <w:color w:val="000000"/>
        </w:rPr>
        <w:t>works in progress</w:t>
      </w:r>
      <w:r>
        <w:rPr>
          <w:rFonts w:ascii="Calibri" w:hAnsi="Calibri" w:cs="Calibri"/>
          <w:color w:val="000000"/>
        </w:rPr>
        <w:t xml:space="preserve">” and going forward versioning for changes </w:t>
      </w:r>
      <w:r w:rsidR="006D34FD">
        <w:rPr>
          <w:rFonts w:ascii="Calibri" w:hAnsi="Calibri" w:cs="Calibri"/>
          <w:color w:val="000000"/>
        </w:rPr>
        <w:t>to the standards</w:t>
      </w:r>
      <w:r w:rsidR="00F81284">
        <w:rPr>
          <w:rFonts w:ascii="Calibri" w:hAnsi="Calibri" w:cs="Calibri"/>
          <w:color w:val="000000"/>
        </w:rPr>
        <w:t>,</w:t>
      </w:r>
      <w:r w:rsidR="00A178BE">
        <w:rPr>
          <w:rFonts w:ascii="Calibri" w:hAnsi="Calibri" w:cs="Calibri"/>
          <w:color w:val="000000"/>
        </w:rPr>
        <w:t xml:space="preserve"> once formally adopted</w:t>
      </w:r>
      <w:r w:rsidR="00F81284">
        <w:rPr>
          <w:rFonts w:ascii="Calibri" w:hAnsi="Calibri" w:cs="Calibri"/>
          <w:color w:val="000000"/>
        </w:rPr>
        <w:t>,</w:t>
      </w:r>
      <w:r w:rsidR="006D34FD">
        <w:rPr>
          <w:rFonts w:ascii="Calibri" w:hAnsi="Calibri" w:cs="Calibri"/>
          <w:color w:val="000000"/>
        </w:rPr>
        <w:t xml:space="preserve"> </w:t>
      </w:r>
      <w:r>
        <w:rPr>
          <w:rFonts w:ascii="Calibri" w:hAnsi="Calibri" w:cs="Calibri"/>
          <w:color w:val="000000"/>
        </w:rPr>
        <w:t>will be set on a regular basis</w:t>
      </w:r>
      <w:r w:rsidRPr="007879C8">
        <w:rPr>
          <w:rFonts w:ascii="Calibri" w:hAnsi="Calibri" w:cs="Calibri"/>
          <w:color w:val="000000"/>
        </w:rPr>
        <w:t xml:space="preserve">. </w:t>
      </w:r>
      <w:r>
        <w:rPr>
          <w:rFonts w:ascii="Calibri" w:hAnsi="Calibri" w:cs="Calibri"/>
          <w:color w:val="000000"/>
        </w:rPr>
        <w:t xml:space="preserve">Consideration of new issues and improvements will continue to be discussed across the </w:t>
      </w:r>
      <w:r w:rsidR="004C70C0">
        <w:rPr>
          <w:rFonts w:ascii="Calibri" w:hAnsi="Calibri" w:cs="Calibri"/>
          <w:color w:val="000000"/>
        </w:rPr>
        <w:t xml:space="preserve">Data Standards Body </w:t>
      </w:r>
      <w:r w:rsidR="003108FF">
        <w:rPr>
          <w:rFonts w:ascii="Calibri" w:hAnsi="Calibri" w:cs="Calibri"/>
          <w:color w:val="000000"/>
        </w:rPr>
        <w:t xml:space="preserve">community </w:t>
      </w:r>
      <w:r>
        <w:rPr>
          <w:rFonts w:ascii="Calibri" w:hAnsi="Calibri" w:cs="Calibri"/>
          <w:color w:val="000000"/>
        </w:rPr>
        <w:t xml:space="preserve">forums and utilised to build consensus. </w:t>
      </w:r>
    </w:p>
    <w:p w:rsidR="007E5299" w:rsidRDefault="007E5299" w:rsidP="007E5299">
      <w:pPr>
        <w:pStyle w:val="NormalWeb"/>
        <w:spacing w:before="0" w:beforeAutospacing="0" w:after="0" w:afterAutospacing="0"/>
        <w:rPr>
          <w:rFonts w:ascii="Calibri" w:hAnsi="Calibri" w:cs="Calibri"/>
          <w:color w:val="000000"/>
        </w:rPr>
      </w:pPr>
    </w:p>
    <w:p w:rsidR="007E5299" w:rsidRPr="007879C8" w:rsidRDefault="007E5299" w:rsidP="007E5299">
      <w:pPr>
        <w:pStyle w:val="NormalWeb"/>
        <w:spacing w:before="0" w:beforeAutospacing="0" w:after="0" w:afterAutospacing="0"/>
      </w:pPr>
      <w:r w:rsidRPr="007879C8">
        <w:rPr>
          <w:rFonts w:ascii="Calibri" w:hAnsi="Calibri" w:cs="Calibri"/>
          <w:color w:val="000000"/>
        </w:rPr>
        <w:t xml:space="preserve">A key focus for the Consumer Data Standards team in 2019 is making the connections between our work streams more visible, bringing the draft standards together as one comprehensive set of documentation and continuing to refine communications in the lead up to a Version 1.0 for </w:t>
      </w:r>
      <w:r>
        <w:rPr>
          <w:rFonts w:ascii="Calibri" w:hAnsi="Calibri" w:cs="Calibri"/>
          <w:color w:val="000000"/>
        </w:rPr>
        <w:t xml:space="preserve">testing and </w:t>
      </w:r>
      <w:r w:rsidRPr="007879C8">
        <w:rPr>
          <w:rFonts w:ascii="Calibri" w:hAnsi="Calibri" w:cs="Calibri"/>
          <w:color w:val="000000"/>
        </w:rPr>
        <w:t xml:space="preserve">implementation. </w:t>
      </w:r>
    </w:p>
    <w:p w:rsidR="00720791" w:rsidRDefault="00720791">
      <w:pPr>
        <w:spacing w:after="160" w:line="259" w:lineRule="auto"/>
        <w:rPr>
          <w:rFonts w:asciiTheme="minorHAnsi" w:eastAsia="Times New Roman" w:hAnsiTheme="minorHAnsi" w:cstheme="minorHAnsi"/>
          <w:b/>
          <w:bCs/>
          <w:sz w:val="32"/>
          <w:szCs w:val="32"/>
          <w:lang w:eastAsia="en-AU"/>
        </w:rPr>
      </w:pPr>
      <w:r>
        <w:br w:type="page"/>
      </w:r>
    </w:p>
    <w:p w:rsidR="007E5299" w:rsidRPr="007C0C06" w:rsidRDefault="007E5299">
      <w:pPr>
        <w:pStyle w:val="Heading2"/>
      </w:pPr>
      <w:r w:rsidRPr="007C0C06">
        <w:lastRenderedPageBreak/>
        <w:t>What’s included and what’s not in May 2019 update draft</w:t>
      </w:r>
    </w:p>
    <w:p w:rsidR="007E5299" w:rsidRPr="00F77DFA" w:rsidRDefault="007E5299" w:rsidP="00D525F1">
      <w:pPr>
        <w:pStyle w:val="Heading3"/>
      </w:pPr>
      <w:r w:rsidRPr="00F77DFA">
        <w:t xml:space="preserve">API </w:t>
      </w:r>
      <w:r w:rsidR="00D13284">
        <w:t>S</w:t>
      </w:r>
      <w:r w:rsidRPr="00F77DFA">
        <w:t>tandards</w:t>
      </w:r>
      <w:r w:rsidR="00D13284">
        <w:t xml:space="preserve"> and Information Security </w:t>
      </w:r>
      <w:r w:rsidR="00D13284" w:rsidRPr="007C0C06">
        <w:t>Profile</w:t>
      </w:r>
    </w:p>
    <w:p w:rsidR="007E5299" w:rsidRDefault="007E5299" w:rsidP="007E5299">
      <w:pPr>
        <w:pStyle w:val="NormalWeb"/>
        <w:spacing w:before="0" w:beforeAutospacing="0" w:after="0" w:afterAutospacing="0"/>
        <w:rPr>
          <w:rFonts w:ascii="Calibri" w:hAnsi="Calibri" w:cs="Calibri"/>
          <w:color w:val="000000"/>
        </w:rPr>
      </w:pPr>
      <w:r w:rsidRPr="007879C8">
        <w:rPr>
          <w:rFonts w:ascii="Calibri" w:hAnsi="Calibri" w:cs="Calibri"/>
          <w:color w:val="000000"/>
        </w:rPr>
        <w:t xml:space="preserve">The API </w:t>
      </w:r>
      <w:r w:rsidR="00D075C9">
        <w:rPr>
          <w:rFonts w:ascii="Calibri" w:hAnsi="Calibri" w:cs="Calibri"/>
          <w:color w:val="000000"/>
        </w:rPr>
        <w:t>S</w:t>
      </w:r>
      <w:r w:rsidRPr="007879C8">
        <w:rPr>
          <w:rFonts w:ascii="Calibri" w:hAnsi="Calibri" w:cs="Calibri"/>
          <w:color w:val="000000"/>
        </w:rPr>
        <w:t xml:space="preserve">tandards incorporate a range of feedback from stakeholders that </w:t>
      </w:r>
      <w:r>
        <w:rPr>
          <w:rFonts w:ascii="Calibri" w:hAnsi="Calibri" w:cs="Calibri"/>
          <w:color w:val="000000"/>
        </w:rPr>
        <w:t>extend</w:t>
      </w:r>
      <w:r w:rsidRPr="007879C8">
        <w:rPr>
          <w:rFonts w:ascii="Calibri" w:hAnsi="Calibri" w:cs="Calibri"/>
          <w:color w:val="000000"/>
        </w:rPr>
        <w:t xml:space="preserve"> from technical commentary on the draft Swagger to questions and clarifications on the design of the </w:t>
      </w:r>
      <w:r w:rsidR="00A178BE">
        <w:rPr>
          <w:rFonts w:ascii="Calibri" w:hAnsi="Calibri" w:cs="Calibri"/>
          <w:color w:val="000000"/>
        </w:rPr>
        <w:t>standards</w:t>
      </w:r>
      <w:r w:rsidR="00A178BE" w:rsidRPr="007879C8">
        <w:rPr>
          <w:rFonts w:ascii="Calibri" w:hAnsi="Calibri" w:cs="Calibri"/>
          <w:color w:val="000000"/>
        </w:rPr>
        <w:t xml:space="preserve"> </w:t>
      </w:r>
      <w:r w:rsidRPr="007879C8">
        <w:rPr>
          <w:rFonts w:ascii="Calibri" w:hAnsi="Calibri" w:cs="Calibri"/>
          <w:color w:val="000000"/>
        </w:rPr>
        <w:t xml:space="preserve">overall. You can read the summary of feedback that informed the latest draft of the standards here: </w:t>
      </w:r>
      <w:hyperlink r:id="rId15" w:history="1">
        <w:r w:rsidRPr="007879C8">
          <w:rPr>
            <w:rStyle w:val="Hyperlink"/>
            <w:rFonts w:ascii="Calibri" w:hAnsi="Calibri" w:cs="Calibri"/>
            <w:color w:val="1155CC"/>
          </w:rPr>
          <w:t>https://consumerdatastandards.org.au/2nd-november-working-draft/</w:t>
        </w:r>
      </w:hyperlink>
      <w:r w:rsidRPr="007879C8">
        <w:rPr>
          <w:rFonts w:ascii="Calibri" w:hAnsi="Calibri" w:cs="Calibri"/>
          <w:color w:val="000000"/>
        </w:rPr>
        <w:t xml:space="preserve">. </w:t>
      </w:r>
    </w:p>
    <w:p w:rsidR="007E5299" w:rsidRPr="007879C8" w:rsidRDefault="007E5299" w:rsidP="007E5299">
      <w:pPr>
        <w:pStyle w:val="NormalWeb"/>
        <w:spacing w:before="0" w:beforeAutospacing="0" w:after="0" w:afterAutospacing="0"/>
        <w:rPr>
          <w:rFonts w:ascii="Calibri" w:hAnsi="Calibri" w:cs="Calibri"/>
        </w:rPr>
      </w:pPr>
    </w:p>
    <w:p w:rsidR="007E5299" w:rsidRDefault="007E5299" w:rsidP="007E5299">
      <w:pPr>
        <w:pStyle w:val="NormalWeb"/>
        <w:spacing w:before="0" w:beforeAutospacing="0" w:after="0" w:afterAutospacing="0"/>
        <w:rPr>
          <w:rFonts w:ascii="Calibri" w:hAnsi="Calibri" w:cs="Calibri"/>
          <w:color w:val="000000"/>
        </w:rPr>
      </w:pPr>
      <w:r w:rsidRPr="00B27F00">
        <w:rPr>
          <w:rFonts w:ascii="Calibri" w:hAnsi="Calibri" w:cs="Calibri"/>
          <w:color w:val="000000"/>
        </w:rPr>
        <w:t xml:space="preserve">The May 2019 draft API </w:t>
      </w:r>
      <w:r w:rsidR="00D075C9">
        <w:rPr>
          <w:rFonts w:ascii="Calibri" w:hAnsi="Calibri" w:cs="Calibri"/>
          <w:color w:val="000000"/>
        </w:rPr>
        <w:t>S</w:t>
      </w:r>
      <w:r w:rsidRPr="00B27F00">
        <w:rPr>
          <w:rFonts w:ascii="Calibri" w:hAnsi="Calibri" w:cs="Calibri"/>
          <w:color w:val="000000"/>
        </w:rPr>
        <w:t>tandard now includes:</w:t>
      </w:r>
    </w:p>
    <w:p w:rsidR="007C0C06" w:rsidRPr="00B27F00" w:rsidRDefault="007C0C06" w:rsidP="007E5299">
      <w:pPr>
        <w:pStyle w:val="NormalWeb"/>
        <w:spacing w:before="0" w:beforeAutospacing="0" w:after="0" w:afterAutospacing="0"/>
        <w:rPr>
          <w:rFonts w:ascii="Calibri" w:hAnsi="Calibri" w:cs="Calibri"/>
        </w:rPr>
      </w:pPr>
    </w:p>
    <w:p w:rsidR="007E5299" w:rsidRPr="00B27F00" w:rsidRDefault="007E5299" w:rsidP="006A162C">
      <w:pPr>
        <w:pStyle w:val="NormalWeb"/>
        <w:numPr>
          <w:ilvl w:val="0"/>
          <w:numId w:val="14"/>
        </w:numPr>
        <w:spacing w:before="0" w:beforeAutospacing="0" w:after="120" w:afterAutospacing="0"/>
        <w:textAlignment w:val="baseline"/>
        <w:rPr>
          <w:rFonts w:ascii="Calibri" w:hAnsi="Calibri" w:cs="Calibri"/>
          <w:color w:val="000000"/>
        </w:rPr>
      </w:pPr>
      <w:r w:rsidRPr="00B27F00">
        <w:rPr>
          <w:rFonts w:ascii="Calibri" w:hAnsi="Calibri" w:cs="Calibri"/>
          <w:color w:val="000000"/>
        </w:rPr>
        <w:t xml:space="preserve">An </w:t>
      </w:r>
      <w:r w:rsidRPr="00313507">
        <w:rPr>
          <w:rFonts w:ascii="Calibri" w:hAnsi="Calibri" w:cs="Calibri"/>
          <w:bCs/>
          <w:color w:val="000000"/>
        </w:rPr>
        <w:t>updated</w:t>
      </w:r>
      <w:r w:rsidRPr="00B27F00">
        <w:rPr>
          <w:rFonts w:ascii="Calibri" w:hAnsi="Calibri" w:cs="Calibri"/>
          <w:b/>
          <w:bCs/>
          <w:color w:val="000000"/>
        </w:rPr>
        <w:t xml:space="preserve"> </w:t>
      </w:r>
      <w:r w:rsidRPr="00313507">
        <w:rPr>
          <w:rFonts w:ascii="Calibri" w:hAnsi="Calibri" w:cs="Calibri"/>
          <w:bCs/>
          <w:color w:val="000000"/>
        </w:rPr>
        <w:t xml:space="preserve">product reference </w:t>
      </w:r>
      <w:r w:rsidR="00777D03" w:rsidRPr="00313507">
        <w:rPr>
          <w:rFonts w:ascii="Calibri" w:hAnsi="Calibri" w:cs="Calibri"/>
          <w:bCs/>
          <w:color w:val="000000"/>
        </w:rPr>
        <w:t>standard</w:t>
      </w:r>
      <w:r w:rsidR="00777D03">
        <w:rPr>
          <w:rFonts w:ascii="Calibri" w:hAnsi="Calibri" w:cs="Calibri"/>
          <w:color w:val="000000"/>
        </w:rPr>
        <w:t xml:space="preserve"> covering all in scope products.  F</w:t>
      </w:r>
      <w:r w:rsidRPr="00B27F00">
        <w:rPr>
          <w:rFonts w:ascii="Calibri" w:hAnsi="Calibri" w:cs="Calibri"/>
          <w:color w:val="000000"/>
        </w:rPr>
        <w:t xml:space="preserve">eedback was </w:t>
      </w:r>
      <w:r w:rsidR="00A178BE">
        <w:rPr>
          <w:rFonts w:ascii="Calibri" w:hAnsi="Calibri" w:cs="Calibri"/>
          <w:color w:val="000000"/>
        </w:rPr>
        <w:t xml:space="preserve">initially </w:t>
      </w:r>
      <w:r w:rsidRPr="00B27F00">
        <w:rPr>
          <w:rFonts w:ascii="Calibri" w:hAnsi="Calibri" w:cs="Calibri"/>
          <w:color w:val="000000"/>
        </w:rPr>
        <w:t xml:space="preserve">sought from major banks through the Australian Banking Association </w:t>
      </w:r>
      <w:r w:rsidR="00A178BE">
        <w:rPr>
          <w:rFonts w:ascii="Calibri" w:hAnsi="Calibri" w:cs="Calibri"/>
          <w:color w:val="000000"/>
        </w:rPr>
        <w:t>on the</w:t>
      </w:r>
      <w:r w:rsidRPr="00B27F00">
        <w:rPr>
          <w:rFonts w:ascii="Calibri" w:hAnsi="Calibri" w:cs="Calibri"/>
          <w:color w:val="000000"/>
        </w:rPr>
        <w:t xml:space="preserve"> product reference payload </w:t>
      </w:r>
      <w:r w:rsidR="00A178BE">
        <w:rPr>
          <w:rFonts w:ascii="Calibri" w:hAnsi="Calibri" w:cs="Calibri"/>
          <w:color w:val="000000"/>
        </w:rPr>
        <w:t>design</w:t>
      </w:r>
      <w:r w:rsidRPr="00B27F00">
        <w:rPr>
          <w:rFonts w:ascii="Calibri" w:hAnsi="Calibri" w:cs="Calibri"/>
          <w:color w:val="000000"/>
        </w:rPr>
        <w:t xml:space="preserve"> for Version 1</w:t>
      </w:r>
      <w:r w:rsidR="00D075C9">
        <w:rPr>
          <w:rFonts w:ascii="Calibri" w:hAnsi="Calibri" w:cs="Calibri"/>
          <w:color w:val="000000"/>
        </w:rPr>
        <w:t>.0</w:t>
      </w:r>
      <w:r w:rsidRPr="00B27F00">
        <w:rPr>
          <w:rFonts w:ascii="Calibri" w:hAnsi="Calibri" w:cs="Calibri"/>
          <w:color w:val="000000"/>
        </w:rPr>
        <w:t xml:space="preserve"> of the standard. That feedback, received in mid</w:t>
      </w:r>
      <w:r w:rsidR="00A178BE">
        <w:rPr>
          <w:rFonts w:ascii="Calibri" w:hAnsi="Calibri" w:cs="Calibri"/>
          <w:color w:val="000000"/>
        </w:rPr>
        <w:t>-</w:t>
      </w:r>
      <w:r w:rsidRPr="00B27F00">
        <w:rPr>
          <w:rFonts w:ascii="Calibri" w:hAnsi="Calibri" w:cs="Calibri"/>
          <w:color w:val="000000"/>
        </w:rPr>
        <w:t xml:space="preserve">December, has </w:t>
      </w:r>
      <w:r w:rsidR="00B27F00">
        <w:rPr>
          <w:rFonts w:ascii="Calibri" w:hAnsi="Calibri" w:cs="Calibri"/>
          <w:color w:val="000000"/>
        </w:rPr>
        <w:t>been</w:t>
      </w:r>
      <w:r w:rsidRPr="00B27F00">
        <w:rPr>
          <w:rFonts w:ascii="Calibri" w:hAnsi="Calibri" w:cs="Calibri"/>
          <w:color w:val="000000"/>
        </w:rPr>
        <w:t xml:space="preserve"> incorporated </w:t>
      </w:r>
      <w:r w:rsidR="00B27F00">
        <w:rPr>
          <w:rFonts w:ascii="Calibri" w:hAnsi="Calibri" w:cs="Calibri"/>
          <w:color w:val="000000"/>
        </w:rPr>
        <w:t xml:space="preserve">and significant consultation has been undertaken </w:t>
      </w:r>
      <w:r w:rsidR="00A178BE">
        <w:rPr>
          <w:rFonts w:ascii="Calibri" w:hAnsi="Calibri" w:cs="Calibri"/>
          <w:color w:val="000000"/>
        </w:rPr>
        <w:t xml:space="preserve">broadly with the community </w:t>
      </w:r>
      <w:r w:rsidR="00777D03">
        <w:rPr>
          <w:rFonts w:ascii="Calibri" w:hAnsi="Calibri" w:cs="Calibri"/>
          <w:color w:val="000000"/>
        </w:rPr>
        <w:t xml:space="preserve">to prepare the </w:t>
      </w:r>
      <w:r w:rsidR="00A178BE">
        <w:rPr>
          <w:rFonts w:ascii="Calibri" w:hAnsi="Calibri" w:cs="Calibri"/>
          <w:color w:val="000000"/>
        </w:rPr>
        <w:t xml:space="preserve">current draft </w:t>
      </w:r>
      <w:r w:rsidR="00777D03">
        <w:rPr>
          <w:rFonts w:ascii="Calibri" w:hAnsi="Calibri" w:cs="Calibri"/>
          <w:color w:val="000000"/>
        </w:rPr>
        <w:t>standard for implementation</w:t>
      </w:r>
      <w:r w:rsidRPr="00B27F00">
        <w:rPr>
          <w:rFonts w:ascii="Calibri" w:hAnsi="Calibri" w:cs="Calibri"/>
          <w:color w:val="000000"/>
        </w:rPr>
        <w:t xml:space="preserve">. </w:t>
      </w:r>
      <w:r w:rsidR="00A178BE">
        <w:rPr>
          <w:rFonts w:ascii="Calibri" w:hAnsi="Calibri" w:cs="Calibri"/>
          <w:color w:val="000000"/>
        </w:rPr>
        <w:t xml:space="preserve">Based on consultation feedback we believe this standard is capable of being utilised for </w:t>
      </w:r>
      <w:r w:rsidR="00C66FF6">
        <w:rPr>
          <w:rFonts w:ascii="Calibri" w:hAnsi="Calibri" w:cs="Calibri"/>
          <w:color w:val="000000"/>
        </w:rPr>
        <w:t>implementation testing.</w:t>
      </w:r>
    </w:p>
    <w:p w:rsidR="00777D03" w:rsidRDefault="00777D03"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An updated standard for designated customer information covering all of the data included in the data mapping table below.  These standards include end point and payload definitions and are the result of extended consultation on specific data clusters as well as consultation on the set of APIs as a whole.  Note that this set of standards include scheduled payments which is a data set clarified as being part of the regime since the 20 December standard was published.</w:t>
      </w:r>
    </w:p>
    <w:p w:rsidR="00777D03" w:rsidRDefault="00777D03"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A standard for administration and discovery APIs that will facilitate the operation of the CDR regime.</w:t>
      </w:r>
    </w:p>
    <w:p w:rsidR="00777D03" w:rsidRDefault="00777D03"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 xml:space="preserve">An updated Information Security profile covering all aspects of how regime participants will interact securely to facilitate the establishment of explicit consent and subsequent data sharing.  This profile is highly technical and provides specific guidance for implementation.  It also highlights </w:t>
      </w:r>
      <w:r w:rsidR="00C66FF6">
        <w:rPr>
          <w:rFonts w:ascii="Calibri" w:hAnsi="Calibri" w:cs="Calibri"/>
          <w:color w:val="000000"/>
        </w:rPr>
        <w:t xml:space="preserve">several </w:t>
      </w:r>
      <w:r>
        <w:rPr>
          <w:rFonts w:ascii="Calibri" w:hAnsi="Calibri" w:cs="Calibri"/>
          <w:color w:val="000000"/>
        </w:rPr>
        <w:t xml:space="preserve">issues </w:t>
      </w:r>
      <w:r w:rsidR="00C66FF6">
        <w:rPr>
          <w:rFonts w:ascii="Calibri" w:hAnsi="Calibri" w:cs="Calibri"/>
          <w:color w:val="000000"/>
        </w:rPr>
        <w:t xml:space="preserve">noted in the above section </w:t>
      </w:r>
      <w:r>
        <w:rPr>
          <w:rFonts w:ascii="Calibri" w:hAnsi="Calibri" w:cs="Calibri"/>
          <w:color w:val="000000"/>
        </w:rPr>
        <w:t xml:space="preserve">where the specific guidance is yet to be defined and further consultation is </w:t>
      </w:r>
      <w:r w:rsidR="00C66FF6">
        <w:rPr>
          <w:rFonts w:ascii="Calibri" w:hAnsi="Calibri" w:cs="Calibri"/>
          <w:color w:val="000000"/>
        </w:rPr>
        <w:t>requested</w:t>
      </w:r>
      <w:r>
        <w:rPr>
          <w:rFonts w:ascii="Calibri" w:hAnsi="Calibri" w:cs="Calibri"/>
          <w:color w:val="000000"/>
        </w:rPr>
        <w:t>.</w:t>
      </w:r>
    </w:p>
    <w:p w:rsidR="007E5299" w:rsidRPr="009B3000" w:rsidRDefault="007E5299" w:rsidP="00D525F1">
      <w:pPr>
        <w:pStyle w:val="Heading4"/>
        <w:tabs>
          <w:tab w:val="left" w:pos="7662"/>
        </w:tabs>
      </w:pPr>
      <w:r w:rsidRPr="009B3000">
        <w:t xml:space="preserve">Understanding the </w:t>
      </w:r>
      <w:r w:rsidRPr="007C0C06">
        <w:t>payloads</w:t>
      </w:r>
      <w:r w:rsidR="00D525F1">
        <w:tab/>
      </w:r>
    </w:p>
    <w:p w:rsidR="007E5299" w:rsidRPr="00991A7E" w:rsidRDefault="00A52899" w:rsidP="007E5299">
      <w:pPr>
        <w:rPr>
          <w:sz w:val="24"/>
        </w:rPr>
      </w:pPr>
      <w:r>
        <w:rPr>
          <w:sz w:val="24"/>
        </w:rPr>
        <w:t>On the previous draft of the API Standards the</w:t>
      </w:r>
      <w:r w:rsidR="007E5299" w:rsidRPr="009B3000">
        <w:rPr>
          <w:sz w:val="24"/>
        </w:rPr>
        <w:t xml:space="preserve"> </w:t>
      </w:r>
      <w:r w:rsidR="00991A7E">
        <w:rPr>
          <w:sz w:val="24"/>
        </w:rPr>
        <w:t>CDS</w:t>
      </w:r>
      <w:r w:rsidR="007E5299" w:rsidRPr="009B3000">
        <w:rPr>
          <w:sz w:val="24"/>
        </w:rPr>
        <w:t xml:space="preserve"> </w:t>
      </w:r>
      <w:r w:rsidR="000016E0" w:rsidRPr="009B3000">
        <w:rPr>
          <w:sz w:val="24"/>
        </w:rPr>
        <w:t xml:space="preserve">team </w:t>
      </w:r>
      <w:r w:rsidR="007E5299" w:rsidRPr="009B3000">
        <w:rPr>
          <w:sz w:val="24"/>
        </w:rPr>
        <w:t xml:space="preserve">received feedback that critical elements of the standards </w:t>
      </w:r>
      <w:r w:rsidR="007E5299" w:rsidRPr="00991A7E">
        <w:rPr>
          <w:sz w:val="24"/>
        </w:rPr>
        <w:t xml:space="preserve">weren’t </w:t>
      </w:r>
      <w:r w:rsidR="00C66FF6">
        <w:rPr>
          <w:rFonts w:eastAsia="Times New Roman"/>
          <w:sz w:val="24"/>
          <w:szCs w:val="24"/>
        </w:rPr>
        <w:t xml:space="preserve">easily </w:t>
      </w:r>
      <w:r w:rsidR="007E5299" w:rsidRPr="00991A7E">
        <w:rPr>
          <w:sz w:val="24"/>
        </w:rPr>
        <w:t xml:space="preserve">accessible for non-technical audiences. </w:t>
      </w:r>
      <w:r>
        <w:rPr>
          <w:rFonts w:eastAsia="Times New Roman"/>
          <w:sz w:val="24"/>
          <w:szCs w:val="24"/>
        </w:rPr>
        <w:t>This has been addressed,</w:t>
      </w:r>
      <w:r w:rsidR="00C66FF6">
        <w:rPr>
          <w:rFonts w:eastAsia="Times New Roman"/>
          <w:sz w:val="24"/>
          <w:szCs w:val="24"/>
        </w:rPr>
        <w:t xml:space="preserve"> w</w:t>
      </w:r>
      <w:r w:rsidR="007E5299" w:rsidRPr="00425BFA">
        <w:rPr>
          <w:rFonts w:eastAsia="Times New Roman"/>
          <w:sz w:val="24"/>
          <w:szCs w:val="24"/>
        </w:rPr>
        <w:t>ith</w:t>
      </w:r>
      <w:r w:rsidR="007E5299" w:rsidRPr="00991A7E">
        <w:rPr>
          <w:sz w:val="24"/>
        </w:rPr>
        <w:t xml:space="preserve"> support from the ACCC, </w:t>
      </w:r>
      <w:r>
        <w:rPr>
          <w:sz w:val="24"/>
        </w:rPr>
        <w:t>to</w:t>
      </w:r>
      <w:r w:rsidRPr="00991A7E">
        <w:rPr>
          <w:sz w:val="24"/>
        </w:rPr>
        <w:t xml:space="preserve"> </w:t>
      </w:r>
      <w:r w:rsidR="007E5299" w:rsidRPr="00991A7E">
        <w:rPr>
          <w:sz w:val="24"/>
        </w:rPr>
        <w:t xml:space="preserve">map requirements in the draft designation instrument outlining the proposed Consumer Data Right against </w:t>
      </w:r>
      <w:r w:rsidR="00C66FF6">
        <w:rPr>
          <w:rFonts w:eastAsia="Times New Roman"/>
          <w:sz w:val="24"/>
          <w:szCs w:val="24"/>
        </w:rPr>
        <w:t>the</w:t>
      </w:r>
      <w:r w:rsidR="007E5299" w:rsidRPr="00991A7E">
        <w:rPr>
          <w:sz w:val="24"/>
        </w:rPr>
        <w:t xml:space="preserve"> draft rules and Consumer Data Standard draft payloads</w:t>
      </w:r>
      <w:r w:rsidR="00C66FF6">
        <w:rPr>
          <w:rFonts w:eastAsia="Times New Roman"/>
          <w:sz w:val="24"/>
          <w:szCs w:val="24"/>
        </w:rPr>
        <w:t>.</w:t>
      </w:r>
      <w:r w:rsidR="007E5299" w:rsidRPr="00425BFA">
        <w:rPr>
          <w:rFonts w:eastAsia="Times New Roman"/>
          <w:sz w:val="24"/>
          <w:szCs w:val="24"/>
        </w:rPr>
        <w:t xml:space="preserve"> </w:t>
      </w:r>
      <w:r w:rsidR="00C66FF6">
        <w:rPr>
          <w:rFonts w:eastAsia="Times New Roman"/>
          <w:sz w:val="24"/>
          <w:szCs w:val="24"/>
        </w:rPr>
        <w:t>A</w:t>
      </w:r>
      <w:r w:rsidR="007E5299" w:rsidRPr="00991A7E">
        <w:rPr>
          <w:sz w:val="24"/>
        </w:rPr>
        <w:t xml:space="preserve"> table summarising information currently in each draft API payload is</w:t>
      </w:r>
      <w:r w:rsidR="007E5299" w:rsidRPr="00425BFA">
        <w:rPr>
          <w:rFonts w:eastAsia="Times New Roman"/>
          <w:sz w:val="24"/>
          <w:szCs w:val="24"/>
        </w:rPr>
        <w:t xml:space="preserve"> </w:t>
      </w:r>
      <w:r w:rsidR="00C66FF6">
        <w:rPr>
          <w:rFonts w:eastAsia="Times New Roman"/>
          <w:sz w:val="24"/>
          <w:szCs w:val="24"/>
        </w:rPr>
        <w:t>noted</w:t>
      </w:r>
      <w:r w:rsidR="00C66FF6" w:rsidRPr="00991A7E">
        <w:rPr>
          <w:sz w:val="24"/>
        </w:rPr>
        <w:t xml:space="preserve"> </w:t>
      </w:r>
      <w:r w:rsidR="007E5299" w:rsidRPr="00991A7E">
        <w:rPr>
          <w:sz w:val="24"/>
        </w:rPr>
        <w:t>below.</w:t>
      </w:r>
    </w:p>
    <w:p w:rsidR="006805A4" w:rsidRDefault="006805A4" w:rsidP="007C0C06">
      <w:pPr>
        <w:pStyle w:val="Heading2"/>
      </w:pPr>
      <w:bookmarkStart w:id="0" w:name="_Toc531769204"/>
    </w:p>
    <w:p w:rsidR="006F2B1F" w:rsidRDefault="006F2B1F">
      <w:pPr>
        <w:pStyle w:val="Heading2"/>
        <w:sectPr w:rsidR="006F2B1F" w:rsidSect="00F45FF7">
          <w:headerReference w:type="default" r:id="rId16"/>
          <w:footerReference w:type="default" r:id="rId17"/>
          <w:pgSz w:w="11906" w:h="16838"/>
          <w:pgMar w:top="1418" w:right="851" w:bottom="567" w:left="851" w:header="709" w:footer="709" w:gutter="0"/>
          <w:cols w:space="708"/>
          <w:docGrid w:linePitch="360"/>
        </w:sectPr>
      </w:pPr>
    </w:p>
    <w:p w:rsidR="008D19E5" w:rsidRDefault="008D19E5">
      <w:pPr>
        <w:pStyle w:val="Heading2"/>
      </w:pPr>
      <w:r w:rsidRPr="00A9467F">
        <w:lastRenderedPageBreak/>
        <w:t xml:space="preserve">Data sets </w:t>
      </w:r>
      <w:r>
        <w:t>map</w:t>
      </w:r>
      <w:bookmarkEnd w:id="0"/>
    </w:p>
    <w:p w:rsidR="008D19E5" w:rsidRPr="003A0FA1" w:rsidRDefault="007C50F7" w:rsidP="006A162C">
      <w:pPr>
        <w:pStyle w:val="Bulletpoint"/>
        <w:numPr>
          <w:ilvl w:val="0"/>
          <w:numId w:val="0"/>
        </w:numPr>
        <w:tabs>
          <w:tab w:val="clear" w:pos="340"/>
        </w:tabs>
        <w:spacing w:after="120"/>
        <w:rPr>
          <w:rFonts w:ascii="Calibri" w:hAnsi="Calibri" w:cs="Calibri"/>
          <w:sz w:val="24"/>
          <w:szCs w:val="24"/>
        </w:rPr>
      </w:pPr>
      <w:r w:rsidRPr="003A0FA1">
        <w:rPr>
          <w:rFonts w:ascii="Calibri" w:hAnsi="Calibri" w:cs="Calibri"/>
          <w:sz w:val="24"/>
          <w:szCs w:val="24"/>
        </w:rPr>
        <w:t>Th</w:t>
      </w:r>
      <w:r>
        <w:rPr>
          <w:rFonts w:ascii="Calibri" w:hAnsi="Calibri" w:cs="Calibri"/>
          <w:sz w:val="24"/>
          <w:szCs w:val="24"/>
        </w:rPr>
        <w:t>e following</w:t>
      </w:r>
      <w:r w:rsidRPr="003A0FA1">
        <w:rPr>
          <w:rFonts w:ascii="Calibri" w:hAnsi="Calibri" w:cs="Calibri"/>
          <w:sz w:val="24"/>
          <w:szCs w:val="24"/>
        </w:rPr>
        <w:t xml:space="preserve"> </w:t>
      </w:r>
      <w:r w:rsidR="008D19E5" w:rsidRPr="003A0FA1">
        <w:rPr>
          <w:rFonts w:ascii="Calibri" w:hAnsi="Calibri" w:cs="Calibri"/>
          <w:sz w:val="24"/>
          <w:szCs w:val="24"/>
        </w:rPr>
        <w:t xml:space="preserve">table is for illustrative purposes only and should not be taken as a definitive statement of the data sets for the CDR. </w:t>
      </w:r>
    </w:p>
    <w:p w:rsidR="008D19E5" w:rsidRDefault="008D19E5" w:rsidP="006A162C">
      <w:pPr>
        <w:pStyle w:val="Bulletpoint"/>
        <w:numPr>
          <w:ilvl w:val="0"/>
          <w:numId w:val="0"/>
        </w:numPr>
        <w:tabs>
          <w:tab w:val="clear" w:pos="340"/>
        </w:tabs>
        <w:spacing w:after="120"/>
        <w:rPr>
          <w:rFonts w:ascii="Calibri" w:hAnsi="Calibri" w:cs="Calibri"/>
          <w:sz w:val="24"/>
          <w:szCs w:val="24"/>
        </w:rPr>
      </w:pPr>
      <w:r w:rsidRPr="00D525F1">
        <w:rPr>
          <w:rFonts w:ascii="Calibri" w:hAnsi="Calibri" w:cs="Calibri"/>
          <w:sz w:val="24"/>
          <w:szCs w:val="24"/>
        </w:rPr>
        <w:t xml:space="preserve">Some categories of payloads do not align precisely with </w:t>
      </w:r>
      <w:r w:rsidR="00C66FF6" w:rsidRPr="00D525F1">
        <w:rPr>
          <w:rFonts w:ascii="Calibri" w:hAnsi="Calibri" w:cs="Calibri"/>
          <w:sz w:val="24"/>
          <w:szCs w:val="24"/>
        </w:rPr>
        <w:t xml:space="preserve">a single element of </w:t>
      </w:r>
      <w:r w:rsidRPr="00D525F1">
        <w:rPr>
          <w:rFonts w:ascii="Calibri" w:hAnsi="Calibri" w:cs="Calibri"/>
          <w:sz w:val="24"/>
          <w:szCs w:val="24"/>
        </w:rPr>
        <w:t>the draft Designation Instrument and the Draft Rules and may be captured under multiple limbs. For example, some ‘account data’ is within what the Designation Instrument refers to as ‘information about the user of the product’.</w:t>
      </w:r>
    </w:p>
    <w:p w:rsidR="00D525F1" w:rsidRPr="00D525F1" w:rsidRDefault="00D525F1" w:rsidP="00A063A7">
      <w:pPr>
        <w:pStyle w:val="Bulletpoint"/>
        <w:numPr>
          <w:ilvl w:val="0"/>
          <w:numId w:val="0"/>
        </w:numPr>
        <w:ind w:left="340"/>
        <w:rPr>
          <w:rFonts w:ascii="Calibri" w:hAnsi="Calibri" w:cs="Calibri"/>
          <w:sz w:val="24"/>
          <w:szCs w:val="24"/>
        </w:rPr>
      </w:pPr>
    </w:p>
    <w:tbl>
      <w:tblPr>
        <w:tblStyle w:val="TableGrid"/>
        <w:tblW w:w="14879" w:type="dxa"/>
        <w:tblLook w:val="04A0" w:firstRow="1" w:lastRow="0" w:firstColumn="1" w:lastColumn="0" w:noHBand="0" w:noVBand="1"/>
      </w:tblPr>
      <w:tblGrid>
        <w:gridCol w:w="1980"/>
        <w:gridCol w:w="5245"/>
        <w:gridCol w:w="1913"/>
        <w:gridCol w:w="1914"/>
        <w:gridCol w:w="3827"/>
      </w:tblGrid>
      <w:tr w:rsidR="008D19E5" w:rsidRPr="00D025CC" w:rsidTr="00D525F1">
        <w:trPr>
          <w:tblHeader/>
        </w:trPr>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rsidR="008D19E5" w:rsidRPr="003A0FA1" w:rsidRDefault="008D19E5" w:rsidP="003342C3">
            <w:pPr>
              <w:rPr>
                <w:rFonts w:eastAsia="Arial"/>
                <w:b/>
                <w:sz w:val="18"/>
                <w:szCs w:val="18"/>
              </w:rPr>
            </w:pPr>
            <w:r w:rsidRPr="003A0FA1">
              <w:rPr>
                <w:rFonts w:eastAsia="Arial"/>
                <w:b/>
                <w:sz w:val="18"/>
                <w:szCs w:val="18"/>
              </w:rPr>
              <w:t>Designation instrument</w:t>
            </w:r>
          </w:p>
        </w:tc>
        <w:tc>
          <w:tcPr>
            <w:tcW w:w="5245" w:type="dxa"/>
            <w:tcBorders>
              <w:top w:val="single" w:sz="4" w:space="0" w:color="auto"/>
              <w:left w:val="single" w:sz="4" w:space="0" w:color="auto"/>
              <w:bottom w:val="single" w:sz="4" w:space="0" w:color="auto"/>
              <w:right w:val="single" w:sz="4" w:space="0" w:color="auto"/>
            </w:tcBorders>
            <w:shd w:val="clear" w:color="auto" w:fill="000000" w:themeFill="text1"/>
          </w:tcPr>
          <w:p w:rsidR="008D19E5" w:rsidRPr="003A0FA1" w:rsidRDefault="008D19E5" w:rsidP="003342C3">
            <w:pPr>
              <w:rPr>
                <w:rFonts w:eastAsia="Arial"/>
                <w:b/>
                <w:sz w:val="18"/>
                <w:szCs w:val="18"/>
              </w:rPr>
            </w:pPr>
            <w:r w:rsidRPr="003A0FA1">
              <w:rPr>
                <w:rFonts w:eastAsia="Arial"/>
                <w:b/>
                <w:sz w:val="18"/>
                <w:szCs w:val="18"/>
              </w:rPr>
              <w:t xml:space="preserve">Rules </w:t>
            </w:r>
          </w:p>
        </w:tc>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8D19E5" w:rsidRPr="003A0FA1" w:rsidRDefault="008D19E5" w:rsidP="003342C3">
            <w:pPr>
              <w:rPr>
                <w:rFonts w:eastAsia="Arial"/>
                <w:b/>
                <w:sz w:val="18"/>
                <w:szCs w:val="18"/>
              </w:rPr>
            </w:pPr>
            <w:r w:rsidRPr="003A0FA1">
              <w:rPr>
                <w:rFonts w:eastAsia="Arial"/>
                <w:b/>
                <w:sz w:val="18"/>
                <w:szCs w:val="18"/>
              </w:rPr>
              <w:t>Standards – Authorisation scopes</w:t>
            </w:r>
          </w:p>
        </w:tc>
        <w:tc>
          <w:tcPr>
            <w:tcW w:w="1914" w:type="dxa"/>
            <w:tcBorders>
              <w:top w:val="single" w:sz="4" w:space="0" w:color="auto"/>
              <w:left w:val="single" w:sz="4" w:space="0" w:color="auto"/>
              <w:bottom w:val="single" w:sz="4" w:space="0" w:color="auto"/>
              <w:right w:val="single" w:sz="4" w:space="0" w:color="auto"/>
            </w:tcBorders>
            <w:shd w:val="clear" w:color="auto" w:fill="000000" w:themeFill="text1"/>
          </w:tcPr>
          <w:p w:rsidR="008D19E5" w:rsidRPr="003A0FA1" w:rsidRDefault="008D19E5" w:rsidP="003342C3">
            <w:pPr>
              <w:rPr>
                <w:rFonts w:eastAsia="Arial"/>
                <w:b/>
                <w:sz w:val="18"/>
                <w:szCs w:val="18"/>
              </w:rPr>
            </w:pPr>
            <w:r w:rsidRPr="003A0FA1">
              <w:rPr>
                <w:rFonts w:eastAsia="Arial"/>
                <w:b/>
                <w:sz w:val="18"/>
                <w:szCs w:val="18"/>
              </w:rPr>
              <w:t xml:space="preserve">Standards – APIs </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8D19E5" w:rsidRPr="003A0FA1" w:rsidRDefault="008D19E5" w:rsidP="003342C3">
            <w:pPr>
              <w:rPr>
                <w:rFonts w:eastAsia="Arial"/>
                <w:b/>
                <w:sz w:val="18"/>
                <w:szCs w:val="18"/>
              </w:rPr>
            </w:pPr>
            <w:r w:rsidRPr="003A0FA1">
              <w:rPr>
                <w:rFonts w:eastAsia="Arial"/>
                <w:b/>
                <w:sz w:val="18"/>
                <w:szCs w:val="18"/>
              </w:rPr>
              <w:t>Payloads</w:t>
            </w:r>
          </w:p>
        </w:tc>
      </w:tr>
      <w:tr w:rsidR="008D19E5" w:rsidRPr="00D025CC" w:rsidTr="00D525F1">
        <w:trPr>
          <w:trHeight w:val="960"/>
        </w:trPr>
        <w:tc>
          <w:tcPr>
            <w:tcW w:w="1980" w:type="dxa"/>
            <w:vMerge w:val="restart"/>
            <w:tcBorders>
              <w:top w:val="single" w:sz="4" w:space="0" w:color="auto"/>
            </w:tcBorders>
          </w:tcPr>
          <w:p w:rsidR="008D19E5" w:rsidRPr="003A0FA1" w:rsidRDefault="008D19E5" w:rsidP="003342C3">
            <w:pPr>
              <w:rPr>
                <w:rFonts w:eastAsia="Arial"/>
                <w:sz w:val="18"/>
                <w:szCs w:val="18"/>
              </w:rPr>
            </w:pPr>
            <w:r w:rsidRPr="003A0FA1">
              <w:rPr>
                <w:rFonts w:eastAsia="Arial"/>
                <w:sz w:val="18"/>
                <w:szCs w:val="18"/>
              </w:rPr>
              <w:t>Information about user of product</w:t>
            </w:r>
          </w:p>
        </w:tc>
        <w:tc>
          <w:tcPr>
            <w:tcW w:w="5245" w:type="dxa"/>
            <w:vMerge w:val="restart"/>
            <w:tcBorders>
              <w:top w:val="single" w:sz="4" w:space="0" w:color="auto"/>
            </w:tcBorders>
          </w:tcPr>
          <w:p w:rsidR="008D19E5" w:rsidRPr="003A0FA1" w:rsidRDefault="008D19E5" w:rsidP="003342C3">
            <w:pPr>
              <w:rPr>
                <w:rFonts w:eastAsia="Arial"/>
                <w:sz w:val="18"/>
                <w:szCs w:val="18"/>
              </w:rPr>
            </w:pPr>
            <w:r w:rsidRPr="003A0FA1">
              <w:rPr>
                <w:rFonts w:eastAsia="Arial"/>
                <w:sz w:val="18"/>
                <w:szCs w:val="18"/>
              </w:rPr>
              <w:t>‘</w:t>
            </w:r>
            <w:r w:rsidRPr="003A0FA1">
              <w:rPr>
                <w:rFonts w:eastAsia="Arial"/>
                <w:b/>
                <w:sz w:val="18"/>
                <w:szCs w:val="18"/>
              </w:rPr>
              <w:t>Customer data’</w:t>
            </w:r>
            <w:r w:rsidRPr="003A0FA1">
              <w:rPr>
                <w:rFonts w:eastAsia="Arial"/>
                <w:sz w:val="18"/>
                <w:szCs w:val="18"/>
              </w:rPr>
              <w:t xml:space="preserve"> is data that identifies the customer and any persons authorised to act on the consumer’s account and will include, at a minimum:</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the customer’s name, which may include a business name and number(s) (such as ABN, ACN)</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the customer’s contact details, which may include phone numbers, email addresses, and physical addresses.</w:t>
            </w:r>
          </w:p>
          <w:p w:rsidR="008D19E5" w:rsidRPr="003A0FA1" w:rsidRDefault="008D19E5" w:rsidP="003342C3">
            <w:pPr>
              <w:rPr>
                <w:rFonts w:eastAsia="Arial"/>
                <w:sz w:val="18"/>
                <w:szCs w:val="18"/>
              </w:rPr>
            </w:pPr>
            <w:r w:rsidRPr="003A0FA1">
              <w:rPr>
                <w:rFonts w:eastAsia="Arial"/>
                <w:sz w:val="18"/>
                <w:szCs w:val="18"/>
              </w:rPr>
              <w:t xml:space="preserve">Customer data may include other identifying information, including where that information assists to distinguish one customer from another. </w:t>
            </w:r>
          </w:p>
          <w:p w:rsidR="008D19E5" w:rsidRPr="003A0FA1" w:rsidRDefault="008D19E5" w:rsidP="003342C3">
            <w:pPr>
              <w:rPr>
                <w:rFonts w:eastAsia="Arial"/>
                <w:sz w:val="18"/>
                <w:szCs w:val="18"/>
              </w:rPr>
            </w:pPr>
            <w:r w:rsidRPr="003A0FA1">
              <w:rPr>
                <w:rFonts w:eastAsia="Arial"/>
                <w:sz w:val="18"/>
                <w:szCs w:val="18"/>
              </w:rPr>
              <w:t>Customer data does not include the date of birth of an individual.</w:t>
            </w:r>
          </w:p>
          <w:p w:rsidR="008D19E5" w:rsidRPr="003A0FA1" w:rsidRDefault="008D19E5" w:rsidP="003342C3">
            <w:pPr>
              <w:rPr>
                <w:rFonts w:eastAsia="Arial"/>
                <w:sz w:val="18"/>
                <w:szCs w:val="18"/>
              </w:rPr>
            </w:pPr>
            <w:r w:rsidRPr="003A0FA1">
              <w:rPr>
                <w:rFonts w:eastAsia="Arial"/>
                <w:sz w:val="18"/>
                <w:szCs w:val="18"/>
              </w:rPr>
              <w:t xml:space="preserve">In relation to business customers, customer data may include the type of business, establishment date, registration date, organisation type, country of registration and whether the business is a charitable/non-profit organisation. </w:t>
            </w:r>
          </w:p>
          <w:p w:rsidR="008D19E5" w:rsidRPr="003A0FA1" w:rsidRDefault="008D19E5" w:rsidP="003342C3">
            <w:pPr>
              <w:rPr>
                <w:rFonts w:eastAsia="Arial"/>
                <w:sz w:val="18"/>
                <w:szCs w:val="18"/>
              </w:rPr>
            </w:pPr>
            <w:r w:rsidRPr="003A0FA1">
              <w:rPr>
                <w:rFonts w:eastAsia="Arial"/>
                <w:sz w:val="18"/>
                <w:szCs w:val="18"/>
              </w:rPr>
              <w:t>Customer data also includes information the customer provided at the time of opening the account that relates to the customer’s eligibility to acquire the product (that is, in connection with an application process). However</w:t>
            </w:r>
            <w:r w:rsidR="00C66FF6">
              <w:rPr>
                <w:rFonts w:eastAsia="Arial"/>
                <w:sz w:val="18"/>
                <w:szCs w:val="18"/>
              </w:rPr>
              <w:t>,</w:t>
            </w:r>
            <w:r w:rsidRPr="003A0FA1">
              <w:rPr>
                <w:rFonts w:eastAsia="Arial"/>
                <w:sz w:val="18"/>
                <w:szCs w:val="18"/>
              </w:rPr>
              <w:t xml:space="preserve"> this information will not be required to be shared via an API and must be shared directly with the consumer in response to the consumer’s valid request. </w:t>
            </w:r>
          </w:p>
          <w:p w:rsidR="008D19E5" w:rsidRPr="003A0FA1" w:rsidRDefault="008D19E5" w:rsidP="003342C3">
            <w:pPr>
              <w:rPr>
                <w:rFonts w:eastAsia="Arial"/>
                <w:sz w:val="18"/>
                <w:szCs w:val="18"/>
              </w:rPr>
            </w:pPr>
          </w:p>
        </w:tc>
        <w:tc>
          <w:tcPr>
            <w:tcW w:w="1913" w:type="dxa"/>
            <w:tcBorders>
              <w:top w:val="single" w:sz="4" w:space="0" w:color="auto"/>
            </w:tcBorders>
          </w:tcPr>
          <w:p w:rsidR="008D19E5" w:rsidRPr="003A0FA1" w:rsidRDefault="008D19E5" w:rsidP="003342C3">
            <w:pPr>
              <w:rPr>
                <w:rFonts w:eastAsia="Arial"/>
                <w:sz w:val="18"/>
                <w:szCs w:val="18"/>
              </w:rPr>
            </w:pPr>
            <w:r w:rsidRPr="003A0FA1">
              <w:rPr>
                <w:rFonts w:eastAsia="Arial"/>
                <w:sz w:val="18"/>
                <w:szCs w:val="18"/>
              </w:rPr>
              <w:t>Basic Customer data</w:t>
            </w:r>
          </w:p>
        </w:tc>
        <w:tc>
          <w:tcPr>
            <w:tcW w:w="1914" w:type="dxa"/>
            <w:tcBorders>
              <w:top w:val="single" w:sz="4" w:space="0" w:color="auto"/>
            </w:tcBorders>
          </w:tcPr>
          <w:p w:rsidR="008D19E5" w:rsidRPr="003A0FA1" w:rsidRDefault="008D19E5" w:rsidP="003342C3">
            <w:pPr>
              <w:rPr>
                <w:rFonts w:eastAsia="Arial"/>
                <w:sz w:val="18"/>
                <w:szCs w:val="18"/>
              </w:rPr>
            </w:pPr>
            <w:r>
              <w:rPr>
                <w:rFonts w:eastAsia="Arial"/>
                <w:sz w:val="18"/>
                <w:szCs w:val="18"/>
              </w:rPr>
              <w:t>Get Customer</w:t>
            </w:r>
          </w:p>
        </w:tc>
        <w:tc>
          <w:tcPr>
            <w:tcW w:w="3827" w:type="dxa"/>
            <w:tcBorders>
              <w:top w:val="single" w:sz="4" w:space="0" w:color="auto"/>
            </w:tcBorders>
          </w:tcPr>
          <w:p w:rsidR="008D19E5" w:rsidRPr="003A0FA1" w:rsidRDefault="008D19E5" w:rsidP="003342C3">
            <w:pPr>
              <w:rPr>
                <w:rFonts w:eastAsia="Arial"/>
                <w:sz w:val="18"/>
                <w:szCs w:val="18"/>
              </w:rPr>
            </w:pPr>
            <w:r w:rsidRPr="003A0FA1">
              <w:rPr>
                <w:rFonts w:eastAsia="Arial"/>
                <w:sz w:val="18"/>
                <w:szCs w:val="18"/>
              </w:rPr>
              <w:t>Customer type (e.g. person or organisation)</w:t>
            </w:r>
          </w:p>
          <w:p w:rsidR="008D19E5" w:rsidRPr="003A0FA1" w:rsidRDefault="008D19E5" w:rsidP="003342C3">
            <w:pPr>
              <w:rPr>
                <w:rFonts w:eastAsia="Arial"/>
                <w:sz w:val="18"/>
                <w:szCs w:val="18"/>
              </w:rPr>
            </w:pPr>
            <w:r w:rsidRPr="003A0FA1">
              <w:rPr>
                <w:rFonts w:eastAsia="Arial"/>
                <w:i/>
                <w:sz w:val="18"/>
                <w:szCs w:val="18"/>
              </w:rPr>
              <w:t>Person</w:t>
            </w:r>
            <w:r w:rsidRPr="003A0FA1">
              <w:rPr>
                <w:rFonts w:eastAsia="Arial"/>
                <w:sz w:val="18"/>
                <w:szCs w:val="18"/>
              </w:rPr>
              <w:t>: last update time, first name, last name, middle names, prefix, suffix, occupation code,</w:t>
            </w:r>
          </w:p>
          <w:p w:rsidR="008D19E5" w:rsidRPr="003A0FA1" w:rsidRDefault="008D19E5" w:rsidP="003342C3">
            <w:pPr>
              <w:rPr>
                <w:rFonts w:eastAsia="Arial"/>
                <w:sz w:val="18"/>
                <w:szCs w:val="18"/>
              </w:rPr>
            </w:pPr>
            <w:r w:rsidRPr="003A0FA1">
              <w:rPr>
                <w:rFonts w:eastAsia="Arial"/>
                <w:i/>
                <w:sz w:val="18"/>
                <w:szCs w:val="18"/>
              </w:rPr>
              <w:t>Organisation</w:t>
            </w:r>
            <w:r w:rsidRPr="003A0FA1">
              <w:rPr>
                <w:rFonts w:eastAsia="Arial"/>
                <w:sz w:val="18"/>
                <w:szCs w:val="18"/>
              </w:rPr>
              <w:t>: last update time, agent first name, agent last name, agent role, business name, legal name, short name, ABN, ACN, industry code, organisation type (e.g. 'sole trader'), registered country, establishment date</w:t>
            </w:r>
          </w:p>
        </w:tc>
      </w:tr>
      <w:tr w:rsidR="008D19E5" w:rsidRPr="00D025CC" w:rsidTr="00D525F1">
        <w:trPr>
          <w:trHeight w:val="96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tcPr>
          <w:p w:rsidR="008D19E5" w:rsidRPr="003A0FA1" w:rsidRDefault="008D19E5" w:rsidP="003342C3">
            <w:pPr>
              <w:rPr>
                <w:rFonts w:eastAsia="Arial"/>
                <w:sz w:val="18"/>
                <w:szCs w:val="18"/>
              </w:rPr>
            </w:pPr>
            <w:r w:rsidRPr="003A0FA1">
              <w:rPr>
                <w:rFonts w:eastAsia="Arial"/>
                <w:sz w:val="18"/>
                <w:szCs w:val="18"/>
              </w:rPr>
              <w:t>Detailed Customer Data</w:t>
            </w:r>
          </w:p>
        </w:tc>
        <w:tc>
          <w:tcPr>
            <w:tcW w:w="1914" w:type="dxa"/>
          </w:tcPr>
          <w:p w:rsidR="008D19E5" w:rsidRPr="003A0FA1" w:rsidRDefault="008D19E5" w:rsidP="003342C3">
            <w:pPr>
              <w:rPr>
                <w:rFonts w:eastAsia="Arial"/>
                <w:sz w:val="18"/>
                <w:szCs w:val="18"/>
              </w:rPr>
            </w:pPr>
            <w:r w:rsidRPr="003A0FA1">
              <w:rPr>
                <w:rFonts w:eastAsia="Arial"/>
                <w:sz w:val="18"/>
                <w:szCs w:val="18"/>
              </w:rPr>
              <w:t>Get Customer Detail</w:t>
            </w:r>
          </w:p>
        </w:tc>
        <w:tc>
          <w:tcPr>
            <w:tcW w:w="3827" w:type="dxa"/>
          </w:tcPr>
          <w:p w:rsidR="008D19E5" w:rsidRPr="003A0FA1" w:rsidRDefault="008D19E5" w:rsidP="003342C3">
            <w:pPr>
              <w:rPr>
                <w:rFonts w:eastAsia="Arial"/>
                <w:sz w:val="18"/>
                <w:szCs w:val="18"/>
              </w:rPr>
            </w:pPr>
            <w:r w:rsidRPr="003A0FA1">
              <w:rPr>
                <w:rFonts w:eastAsia="Arial"/>
                <w:sz w:val="18"/>
                <w:szCs w:val="18"/>
              </w:rPr>
              <w:t>Customer type (e.g. person or organisation),</w:t>
            </w:r>
          </w:p>
          <w:p w:rsidR="008D19E5" w:rsidRPr="003A0FA1" w:rsidRDefault="008D19E5" w:rsidP="003342C3">
            <w:pPr>
              <w:rPr>
                <w:rFonts w:eastAsia="Arial"/>
                <w:sz w:val="18"/>
                <w:szCs w:val="18"/>
              </w:rPr>
            </w:pPr>
            <w:r w:rsidRPr="003A0FA1">
              <w:rPr>
                <w:rFonts w:eastAsia="Arial"/>
                <w:i/>
                <w:sz w:val="18"/>
                <w:szCs w:val="18"/>
              </w:rPr>
              <w:t>Person</w:t>
            </w:r>
            <w:r w:rsidRPr="003A0FA1">
              <w:rPr>
                <w:rFonts w:eastAsia="Arial"/>
                <w:sz w:val="18"/>
                <w:szCs w:val="18"/>
              </w:rPr>
              <w:t>: last update time, first name, last name, middle names, prefix, suffix, occupation code,</w:t>
            </w:r>
          </w:p>
          <w:p w:rsidR="008D19E5" w:rsidRPr="003A0FA1" w:rsidRDefault="008D19E5" w:rsidP="003342C3">
            <w:pPr>
              <w:rPr>
                <w:rFonts w:eastAsia="Arial"/>
                <w:sz w:val="18"/>
                <w:szCs w:val="18"/>
              </w:rPr>
            </w:pPr>
            <w:r w:rsidRPr="003A0FA1">
              <w:rPr>
                <w:rFonts w:eastAsia="Arial"/>
                <w:i/>
                <w:sz w:val="18"/>
                <w:szCs w:val="18"/>
              </w:rPr>
              <w:t>Organisation</w:t>
            </w:r>
            <w:r w:rsidRPr="003A0FA1">
              <w:rPr>
                <w:rFonts w:eastAsia="Arial"/>
                <w:sz w:val="18"/>
                <w:szCs w:val="18"/>
              </w:rPr>
              <w:t>: last update time, agent first name, agent last name, agent role, business name, legal name, short name, ABN, ACN, industry code, organisation type (e.g. 'sole trader'), registered country, establishment date</w:t>
            </w:r>
          </w:p>
          <w:p w:rsidR="008D19E5" w:rsidRPr="003A0FA1" w:rsidRDefault="008D19E5" w:rsidP="003342C3">
            <w:pPr>
              <w:rPr>
                <w:rFonts w:eastAsia="Arial"/>
                <w:sz w:val="18"/>
                <w:szCs w:val="18"/>
              </w:rPr>
            </w:pPr>
            <w:r w:rsidRPr="003A0FA1">
              <w:rPr>
                <w:rFonts w:eastAsia="Arial"/>
                <w:sz w:val="18"/>
                <w:szCs w:val="18"/>
              </w:rPr>
              <w:t>Phone numbers (purpose and preferred number),</w:t>
            </w:r>
          </w:p>
          <w:p w:rsidR="008D19E5" w:rsidRPr="003A0FA1" w:rsidRDefault="008D19E5" w:rsidP="003342C3">
            <w:pPr>
              <w:rPr>
                <w:rFonts w:eastAsia="Arial"/>
                <w:sz w:val="18"/>
                <w:szCs w:val="18"/>
              </w:rPr>
            </w:pPr>
            <w:r w:rsidRPr="003A0FA1">
              <w:rPr>
                <w:rFonts w:eastAsia="Arial"/>
                <w:sz w:val="18"/>
                <w:szCs w:val="18"/>
              </w:rPr>
              <w:t>Email addresses (purpose and preferred email),</w:t>
            </w:r>
          </w:p>
          <w:p w:rsidR="008D19E5" w:rsidRPr="003A0FA1" w:rsidRDefault="008D19E5" w:rsidP="003342C3">
            <w:pPr>
              <w:rPr>
                <w:rFonts w:eastAsia="Arial"/>
                <w:sz w:val="18"/>
                <w:szCs w:val="18"/>
              </w:rPr>
            </w:pPr>
            <w:r w:rsidRPr="003A0FA1">
              <w:rPr>
                <w:rFonts w:eastAsia="Arial"/>
                <w:sz w:val="18"/>
                <w:szCs w:val="18"/>
              </w:rPr>
              <w:t>Physical address (mailing name and purpose).</w:t>
            </w:r>
          </w:p>
        </w:tc>
      </w:tr>
      <w:tr w:rsidR="008D19E5" w:rsidRPr="00D025CC" w:rsidTr="00D525F1">
        <w:trPr>
          <w:trHeight w:val="435"/>
        </w:trPr>
        <w:tc>
          <w:tcPr>
            <w:tcW w:w="1980" w:type="dxa"/>
            <w:vMerge w:val="restart"/>
          </w:tcPr>
          <w:p w:rsidR="008D19E5" w:rsidRPr="003A0FA1" w:rsidRDefault="008D19E5" w:rsidP="003342C3">
            <w:pPr>
              <w:rPr>
                <w:rFonts w:eastAsia="Arial"/>
                <w:sz w:val="18"/>
                <w:szCs w:val="18"/>
              </w:rPr>
            </w:pPr>
            <w:r w:rsidRPr="003A0FA1">
              <w:rPr>
                <w:rFonts w:eastAsia="Arial"/>
                <w:sz w:val="18"/>
                <w:szCs w:val="18"/>
              </w:rPr>
              <w:t>Information about use of the product</w:t>
            </w:r>
          </w:p>
        </w:tc>
        <w:tc>
          <w:tcPr>
            <w:tcW w:w="5245" w:type="dxa"/>
            <w:vMerge w:val="restart"/>
          </w:tcPr>
          <w:p w:rsidR="008D19E5" w:rsidRPr="003A0FA1" w:rsidRDefault="008D19E5" w:rsidP="003342C3">
            <w:pPr>
              <w:rPr>
                <w:rFonts w:eastAsia="Arial"/>
                <w:sz w:val="18"/>
                <w:szCs w:val="18"/>
              </w:rPr>
            </w:pPr>
            <w:r w:rsidRPr="003A0FA1">
              <w:rPr>
                <w:rFonts w:eastAsia="Arial"/>
                <w:sz w:val="18"/>
                <w:szCs w:val="18"/>
              </w:rPr>
              <w:t>‘</w:t>
            </w:r>
            <w:r w:rsidRPr="003A0FA1">
              <w:rPr>
                <w:rFonts w:eastAsia="Arial"/>
                <w:b/>
                <w:sz w:val="18"/>
                <w:szCs w:val="18"/>
              </w:rPr>
              <w:t>Account data’</w:t>
            </w:r>
            <w:r w:rsidRPr="003A0FA1">
              <w:rPr>
                <w:rFonts w:eastAsia="Arial"/>
                <w:sz w:val="18"/>
                <w:szCs w:val="18"/>
              </w:rPr>
              <w:t xml:space="preserve"> includes, at a minimum:</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information identifying the account, including the account number, and account name(s)</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Pr>
                <w:rFonts w:eastAsia="Arial"/>
                <w:sz w:val="18"/>
                <w:szCs w:val="18"/>
              </w:rPr>
              <w:lastRenderedPageBreak/>
              <w:t>note that,</w:t>
            </w:r>
            <w:r w:rsidRPr="003A0FA1">
              <w:rPr>
                <w:rFonts w:eastAsia="Arial"/>
                <w:sz w:val="18"/>
                <w:szCs w:val="18"/>
              </w:rPr>
              <w:t xml:space="preserve"> in accordance with app</w:t>
            </w:r>
            <w:r>
              <w:rPr>
                <w:rFonts w:eastAsia="Arial"/>
                <w:sz w:val="18"/>
                <w:szCs w:val="18"/>
              </w:rPr>
              <w:t>licable laws, obligations and standards,</w:t>
            </w:r>
            <w:r w:rsidRPr="003A0FA1">
              <w:rPr>
                <w:rFonts w:eastAsia="Arial"/>
                <w:sz w:val="18"/>
                <w:szCs w:val="18"/>
              </w:rPr>
              <w:t xml:space="preserve"> credit card numbers </w:t>
            </w:r>
            <w:r>
              <w:rPr>
                <w:rFonts w:eastAsia="Arial"/>
                <w:sz w:val="18"/>
                <w:szCs w:val="18"/>
              </w:rPr>
              <w:t xml:space="preserve">are masked </w:t>
            </w:r>
            <w:r w:rsidRPr="003A0FA1">
              <w:rPr>
                <w:rFonts w:eastAsia="Arial"/>
                <w:sz w:val="18"/>
                <w:szCs w:val="18"/>
              </w:rPr>
              <w:t>to meet security requirements</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 xml:space="preserve">the </w:t>
            </w:r>
            <w:r>
              <w:rPr>
                <w:rFonts w:eastAsia="Arial"/>
                <w:sz w:val="18"/>
                <w:szCs w:val="18"/>
              </w:rPr>
              <w:t>balance</w:t>
            </w:r>
            <w:r w:rsidRPr="003A0FA1">
              <w:rPr>
                <w:rFonts w:eastAsia="Arial"/>
                <w:sz w:val="18"/>
                <w:szCs w:val="18"/>
              </w:rPr>
              <w:t xml:space="preserve"> for the account, including current balance and available funds</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Pr>
                <w:rFonts w:eastAsia="Arial"/>
                <w:sz w:val="18"/>
                <w:szCs w:val="18"/>
              </w:rPr>
              <w:t>regular payments registered</w:t>
            </w:r>
            <w:r w:rsidRPr="003A0FA1">
              <w:rPr>
                <w:rFonts w:eastAsia="Arial"/>
                <w:sz w:val="18"/>
                <w:szCs w:val="18"/>
              </w:rPr>
              <w:t xml:space="preserve"> on the account, including:</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direct debit deductions, which will include, to the extent available:</w:t>
            </w:r>
          </w:p>
          <w:p w:rsidR="008D19E5" w:rsidRPr="003A0FA1" w:rsidRDefault="008D19E5" w:rsidP="008D19E5">
            <w:pPr>
              <w:pStyle w:val="ListParagraph"/>
              <w:numPr>
                <w:ilvl w:val="2"/>
                <w:numId w:val="24"/>
              </w:numPr>
              <w:tabs>
                <w:tab w:val="left" w:pos="340"/>
              </w:tabs>
              <w:spacing w:before="120"/>
              <w:contextualSpacing w:val="0"/>
              <w:rPr>
                <w:rFonts w:eastAsia="Arial"/>
                <w:sz w:val="18"/>
                <w:szCs w:val="18"/>
              </w:rPr>
            </w:pPr>
            <w:r w:rsidRPr="003A0FA1">
              <w:rPr>
                <w:rFonts w:eastAsia="Arial"/>
                <w:sz w:val="18"/>
                <w:szCs w:val="18"/>
              </w:rPr>
              <w:t>identifying information for the merchant/party making the debit</w:t>
            </w:r>
          </w:p>
          <w:p w:rsidR="008D19E5" w:rsidRPr="003A0FA1" w:rsidRDefault="008D19E5" w:rsidP="008D19E5">
            <w:pPr>
              <w:pStyle w:val="ListParagraph"/>
              <w:numPr>
                <w:ilvl w:val="2"/>
                <w:numId w:val="24"/>
              </w:numPr>
              <w:tabs>
                <w:tab w:val="left" w:pos="340"/>
              </w:tabs>
              <w:spacing w:before="120"/>
              <w:contextualSpacing w:val="0"/>
              <w:rPr>
                <w:rFonts w:eastAsia="Arial"/>
                <w:sz w:val="18"/>
                <w:szCs w:val="18"/>
              </w:rPr>
            </w:pPr>
            <w:r w:rsidRPr="003A0FA1">
              <w:rPr>
                <w:rFonts w:eastAsia="Arial"/>
                <w:sz w:val="18"/>
                <w:szCs w:val="18"/>
              </w:rPr>
              <w:t>the amount debited</w:t>
            </w:r>
          </w:p>
          <w:p w:rsidR="008D19E5" w:rsidRPr="003A0FA1" w:rsidRDefault="008D19E5" w:rsidP="008D19E5">
            <w:pPr>
              <w:pStyle w:val="ListParagraph"/>
              <w:numPr>
                <w:ilvl w:val="2"/>
                <w:numId w:val="24"/>
              </w:numPr>
              <w:tabs>
                <w:tab w:val="left" w:pos="340"/>
              </w:tabs>
              <w:spacing w:before="120"/>
              <w:contextualSpacing w:val="0"/>
              <w:rPr>
                <w:rFonts w:eastAsia="Arial"/>
                <w:sz w:val="18"/>
                <w:szCs w:val="18"/>
              </w:rPr>
            </w:pPr>
            <w:r w:rsidRPr="003A0FA1">
              <w:rPr>
                <w:rFonts w:eastAsia="Arial"/>
                <w:sz w:val="18"/>
                <w:szCs w:val="18"/>
              </w:rPr>
              <w:t>the date of the transaction</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scheduled payments, which may include regular payments, payments to billers, international payments</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details of payees stored with the account, such as if entered by the customer in a payee address book.</w:t>
            </w:r>
          </w:p>
          <w:p w:rsidR="008D19E5" w:rsidRPr="003A0FA1" w:rsidRDefault="008D19E5" w:rsidP="003342C3">
            <w:pPr>
              <w:rPr>
                <w:rFonts w:eastAsia="Arial"/>
                <w:sz w:val="18"/>
                <w:szCs w:val="18"/>
              </w:rPr>
            </w:pPr>
            <w:r w:rsidRPr="003A0FA1">
              <w:rPr>
                <w:rFonts w:eastAsia="Arial"/>
                <w:sz w:val="18"/>
                <w:szCs w:val="18"/>
              </w:rPr>
              <w:t xml:space="preserve">The ACCC recognises the limitations in providing direct debit information, hence the information is to be provided to the extent available. </w:t>
            </w:r>
            <w:r w:rsidR="00A52899">
              <w:rPr>
                <w:rFonts w:eastAsia="Arial"/>
                <w:sz w:val="18"/>
                <w:szCs w:val="18"/>
              </w:rPr>
              <w:t>However, t</w:t>
            </w:r>
            <w:r w:rsidRPr="003A0FA1">
              <w:rPr>
                <w:rFonts w:eastAsia="Arial"/>
                <w:sz w:val="18"/>
                <w:szCs w:val="18"/>
              </w:rPr>
              <w:t xml:space="preserve">he ACCC expects that as more information becomes available, and better processes develop, over time in relation to direct debits, it will be able to be included. </w:t>
            </w:r>
          </w:p>
        </w:tc>
        <w:tc>
          <w:tcPr>
            <w:tcW w:w="1913" w:type="dxa"/>
            <w:vMerge w:val="restart"/>
          </w:tcPr>
          <w:p w:rsidR="008D19E5" w:rsidRPr="003A0FA1" w:rsidRDefault="008D19E5" w:rsidP="003342C3">
            <w:pPr>
              <w:rPr>
                <w:rFonts w:eastAsia="Arial"/>
                <w:sz w:val="18"/>
                <w:szCs w:val="18"/>
              </w:rPr>
            </w:pPr>
            <w:r w:rsidRPr="003A0FA1">
              <w:rPr>
                <w:rFonts w:eastAsia="Arial"/>
                <w:sz w:val="18"/>
                <w:szCs w:val="18"/>
              </w:rPr>
              <w:lastRenderedPageBreak/>
              <w:t>Basic Bank Account</w:t>
            </w:r>
          </w:p>
        </w:tc>
        <w:tc>
          <w:tcPr>
            <w:tcW w:w="1914" w:type="dxa"/>
          </w:tcPr>
          <w:p w:rsidR="008D19E5" w:rsidRPr="003A0FA1" w:rsidRDefault="008D19E5" w:rsidP="003342C3">
            <w:pPr>
              <w:rPr>
                <w:rFonts w:eastAsia="Arial"/>
                <w:sz w:val="18"/>
                <w:szCs w:val="18"/>
              </w:rPr>
            </w:pPr>
            <w:r w:rsidRPr="003A0FA1">
              <w:rPr>
                <w:rFonts w:eastAsia="Arial"/>
                <w:sz w:val="18"/>
                <w:szCs w:val="18"/>
              </w:rPr>
              <w:t>Get Accounts</w:t>
            </w:r>
          </w:p>
        </w:tc>
        <w:tc>
          <w:tcPr>
            <w:tcW w:w="3827" w:type="dxa"/>
          </w:tcPr>
          <w:p w:rsidR="008D19E5" w:rsidRPr="003A0FA1" w:rsidRDefault="008D19E5" w:rsidP="003342C3">
            <w:pPr>
              <w:rPr>
                <w:b/>
                <w:sz w:val="18"/>
                <w:szCs w:val="18"/>
              </w:rPr>
            </w:pPr>
            <w:r w:rsidRPr="003A0FA1">
              <w:rPr>
                <w:rFonts w:eastAsia="Arial"/>
                <w:sz w:val="18"/>
                <w:szCs w:val="18"/>
              </w:rPr>
              <w:t xml:space="preserve">Account ID, display name, nickname, </w:t>
            </w:r>
            <w:r w:rsidRPr="003A0FA1">
              <w:rPr>
                <w:sz w:val="18"/>
                <w:szCs w:val="18"/>
              </w:rPr>
              <w:t xml:space="preserve">masked number (BSB/ACC, CC number, PAN) </w:t>
            </w:r>
          </w:p>
          <w:p w:rsidR="008D19E5" w:rsidRPr="003A0FA1" w:rsidRDefault="008D19E5" w:rsidP="003342C3">
            <w:pPr>
              <w:rPr>
                <w:rFonts w:eastAsia="Arial"/>
                <w:sz w:val="18"/>
                <w:szCs w:val="18"/>
              </w:rPr>
            </w:pPr>
            <w:r w:rsidRPr="003A0FA1">
              <w:rPr>
                <w:rFonts w:eastAsia="Arial"/>
                <w:sz w:val="18"/>
                <w:szCs w:val="18"/>
              </w:rPr>
              <w:t>Product: category, type, name</w:t>
            </w:r>
          </w:p>
        </w:tc>
      </w:tr>
      <w:tr w:rsidR="008D19E5" w:rsidRPr="00D025CC" w:rsidTr="00D525F1">
        <w:trPr>
          <w:trHeight w:val="435"/>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Bulk Balances</w:t>
            </w:r>
          </w:p>
        </w:tc>
        <w:tc>
          <w:tcPr>
            <w:tcW w:w="3827" w:type="dxa"/>
          </w:tcPr>
          <w:p w:rsidR="008D19E5" w:rsidRPr="003A0FA1" w:rsidRDefault="008D19E5" w:rsidP="003342C3">
            <w:pPr>
              <w:rPr>
                <w:rFonts w:eastAsia="Arial"/>
                <w:sz w:val="18"/>
                <w:szCs w:val="18"/>
              </w:rPr>
            </w:pPr>
            <w:r w:rsidRPr="003A0FA1">
              <w:rPr>
                <w:rFonts w:eastAsia="Arial"/>
                <w:sz w:val="18"/>
                <w:szCs w:val="18"/>
              </w:rPr>
              <w:t xml:space="preserve">Account IDs, </w:t>
            </w:r>
          </w:p>
          <w:p w:rsidR="008D19E5" w:rsidRPr="003A0FA1" w:rsidRDefault="008D19E5" w:rsidP="003342C3">
            <w:pPr>
              <w:rPr>
                <w:rFonts w:eastAsia="Arial"/>
                <w:sz w:val="18"/>
                <w:szCs w:val="18"/>
              </w:rPr>
            </w:pPr>
            <w:r w:rsidRPr="003A0FA1">
              <w:rPr>
                <w:rFonts w:eastAsia="Arial"/>
                <w:sz w:val="18"/>
                <w:szCs w:val="18"/>
              </w:rPr>
              <w:t>Balance: amount (current and available), currency</w:t>
            </w:r>
          </w:p>
        </w:tc>
      </w:tr>
      <w:tr w:rsidR="008D19E5" w:rsidRPr="00D025CC" w:rsidTr="00D525F1">
        <w:trPr>
          <w:trHeight w:val="435"/>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Balances For Specific Accounts</w:t>
            </w:r>
          </w:p>
        </w:tc>
        <w:tc>
          <w:tcPr>
            <w:tcW w:w="3827" w:type="dxa"/>
          </w:tcPr>
          <w:p w:rsidR="008D19E5" w:rsidRPr="003A0FA1" w:rsidRDefault="008D19E5" w:rsidP="003342C3">
            <w:pPr>
              <w:rPr>
                <w:rFonts w:eastAsia="Arial"/>
                <w:sz w:val="18"/>
                <w:szCs w:val="18"/>
              </w:rPr>
            </w:pPr>
            <w:r w:rsidRPr="003A0FA1">
              <w:rPr>
                <w:rFonts w:eastAsia="Arial"/>
                <w:sz w:val="18"/>
                <w:szCs w:val="18"/>
              </w:rPr>
              <w:t xml:space="preserve">Account IDs, </w:t>
            </w:r>
          </w:p>
          <w:p w:rsidR="008D19E5" w:rsidRPr="003A0FA1" w:rsidRDefault="008D19E5" w:rsidP="003342C3">
            <w:pPr>
              <w:rPr>
                <w:rFonts w:eastAsia="Arial"/>
                <w:sz w:val="18"/>
                <w:szCs w:val="18"/>
              </w:rPr>
            </w:pPr>
            <w:r w:rsidRPr="003A0FA1">
              <w:rPr>
                <w:rFonts w:eastAsia="Arial"/>
                <w:sz w:val="18"/>
                <w:szCs w:val="18"/>
              </w:rPr>
              <w:t>Balance: amount (current and available), currency</w:t>
            </w:r>
          </w:p>
        </w:tc>
      </w:tr>
      <w:tr w:rsidR="008D19E5" w:rsidRPr="00D025CC" w:rsidTr="00D525F1">
        <w:trPr>
          <w:trHeight w:val="435"/>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Pr>
                <w:rFonts w:eastAsia="Arial"/>
                <w:sz w:val="18"/>
                <w:szCs w:val="18"/>
              </w:rPr>
              <w:t>Get Account Balance</w:t>
            </w:r>
          </w:p>
        </w:tc>
        <w:tc>
          <w:tcPr>
            <w:tcW w:w="3827" w:type="dxa"/>
          </w:tcPr>
          <w:p w:rsidR="008D19E5" w:rsidRPr="003A0FA1" w:rsidRDefault="008D19E5" w:rsidP="003342C3">
            <w:pPr>
              <w:rPr>
                <w:rFonts w:eastAsia="Arial"/>
                <w:sz w:val="18"/>
                <w:szCs w:val="18"/>
              </w:rPr>
            </w:pPr>
            <w:r>
              <w:rPr>
                <w:rFonts w:eastAsia="Arial"/>
                <w:sz w:val="18"/>
                <w:szCs w:val="18"/>
              </w:rPr>
              <w:t>Account ID</w:t>
            </w:r>
            <w:r w:rsidRPr="003A0FA1">
              <w:rPr>
                <w:rFonts w:eastAsia="Arial"/>
                <w:sz w:val="18"/>
                <w:szCs w:val="18"/>
              </w:rPr>
              <w:t xml:space="preserve">, </w:t>
            </w:r>
          </w:p>
          <w:p w:rsidR="008D19E5" w:rsidRPr="003A0FA1" w:rsidRDefault="008D19E5" w:rsidP="003342C3">
            <w:pPr>
              <w:rPr>
                <w:rFonts w:eastAsia="Arial"/>
                <w:sz w:val="18"/>
                <w:szCs w:val="18"/>
              </w:rPr>
            </w:pPr>
            <w:r w:rsidRPr="003A0FA1">
              <w:rPr>
                <w:rFonts w:eastAsia="Arial"/>
                <w:sz w:val="18"/>
                <w:szCs w:val="18"/>
              </w:rPr>
              <w:t>Balance: amount (current and available), currency</w:t>
            </w:r>
          </w:p>
        </w:tc>
      </w:tr>
      <w:tr w:rsidR="008D19E5" w:rsidRPr="00D025CC" w:rsidTr="00D525F1">
        <w:trPr>
          <w:trHeight w:val="494"/>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tcPr>
          <w:p w:rsidR="008D19E5" w:rsidRPr="003A0FA1" w:rsidRDefault="008D19E5" w:rsidP="003342C3">
            <w:pPr>
              <w:rPr>
                <w:rFonts w:eastAsia="Arial"/>
                <w:sz w:val="18"/>
                <w:szCs w:val="18"/>
              </w:rPr>
            </w:pPr>
            <w:r w:rsidRPr="003A0FA1">
              <w:rPr>
                <w:rFonts w:eastAsia="Arial"/>
                <w:sz w:val="18"/>
                <w:szCs w:val="18"/>
              </w:rPr>
              <w:t>Detailed Bank Account</w:t>
            </w:r>
          </w:p>
        </w:tc>
        <w:tc>
          <w:tcPr>
            <w:tcW w:w="1914" w:type="dxa"/>
          </w:tcPr>
          <w:p w:rsidR="008D19E5" w:rsidRPr="003A0FA1" w:rsidRDefault="008D19E5" w:rsidP="003342C3">
            <w:pPr>
              <w:rPr>
                <w:rFonts w:eastAsia="Arial"/>
                <w:sz w:val="18"/>
                <w:szCs w:val="18"/>
              </w:rPr>
            </w:pPr>
            <w:r w:rsidRPr="003A0FA1">
              <w:rPr>
                <w:rFonts w:eastAsia="Arial"/>
                <w:sz w:val="18"/>
                <w:szCs w:val="18"/>
              </w:rPr>
              <w:t xml:space="preserve">Get Account Detail </w:t>
            </w:r>
          </w:p>
        </w:tc>
        <w:tc>
          <w:tcPr>
            <w:tcW w:w="3827" w:type="dxa"/>
          </w:tcPr>
          <w:p w:rsidR="008D19E5" w:rsidRPr="003A0FA1" w:rsidRDefault="008D19E5" w:rsidP="003342C3">
            <w:pPr>
              <w:rPr>
                <w:sz w:val="18"/>
                <w:szCs w:val="18"/>
              </w:rPr>
            </w:pPr>
            <w:r w:rsidRPr="003A0FA1">
              <w:rPr>
                <w:rFonts w:eastAsia="Arial"/>
                <w:sz w:val="18"/>
                <w:szCs w:val="18"/>
              </w:rPr>
              <w:t xml:space="preserve">Account ID, display name, nickname, </w:t>
            </w:r>
            <w:r w:rsidRPr="003A0FA1">
              <w:rPr>
                <w:sz w:val="18"/>
                <w:szCs w:val="18"/>
              </w:rPr>
              <w:t xml:space="preserve">account number (BSB/ACC, CC number, PAN) </w:t>
            </w:r>
          </w:p>
          <w:p w:rsidR="008D19E5" w:rsidRPr="003A0FA1" w:rsidRDefault="008D19E5" w:rsidP="003342C3">
            <w:pPr>
              <w:rPr>
                <w:rFonts w:eastAsia="Arial"/>
                <w:sz w:val="18"/>
                <w:szCs w:val="18"/>
              </w:rPr>
            </w:pPr>
            <w:r w:rsidRPr="003A0FA1">
              <w:rPr>
                <w:rFonts w:eastAsia="Arial"/>
                <w:sz w:val="18"/>
                <w:szCs w:val="18"/>
              </w:rPr>
              <w:t>Product: category, type</w:t>
            </w:r>
          </w:p>
          <w:p w:rsidR="008D19E5" w:rsidRPr="003A0FA1" w:rsidRDefault="008D19E5" w:rsidP="003342C3">
            <w:pPr>
              <w:rPr>
                <w:rFonts w:eastAsia="Arial"/>
                <w:sz w:val="18"/>
                <w:szCs w:val="18"/>
              </w:rPr>
            </w:pPr>
            <w:r w:rsidRPr="003A0FA1">
              <w:rPr>
                <w:rFonts w:eastAsia="Arial"/>
                <w:sz w:val="18"/>
                <w:szCs w:val="18"/>
              </w:rPr>
              <w:t>Balance: type (e.g. 'deposits'), amount (current and available), currency</w:t>
            </w:r>
          </w:p>
          <w:p w:rsidR="008D19E5" w:rsidRPr="003A0FA1" w:rsidRDefault="008D19E5" w:rsidP="003342C3">
            <w:pPr>
              <w:rPr>
                <w:rFonts w:eastAsia="Arial"/>
                <w:sz w:val="18"/>
                <w:szCs w:val="18"/>
              </w:rPr>
            </w:pPr>
            <w:r w:rsidRPr="003A0FA1">
              <w:rPr>
                <w:rFonts w:eastAsia="Arial"/>
                <w:sz w:val="18"/>
                <w:szCs w:val="18"/>
              </w:rPr>
              <w:t xml:space="preserve">Features (type and information) </w:t>
            </w:r>
          </w:p>
          <w:p w:rsidR="008D19E5" w:rsidRPr="003A0FA1" w:rsidRDefault="008D19E5" w:rsidP="003342C3">
            <w:pPr>
              <w:rPr>
                <w:rFonts w:eastAsia="Arial"/>
                <w:sz w:val="18"/>
                <w:szCs w:val="18"/>
              </w:rPr>
            </w:pPr>
            <w:r w:rsidRPr="003A0FA1">
              <w:rPr>
                <w:rFonts w:eastAsia="Arial"/>
                <w:sz w:val="18"/>
                <w:szCs w:val="18"/>
              </w:rPr>
              <w:t xml:space="preserve">Fees: name, type, amount, </w:t>
            </w:r>
          </w:p>
          <w:p w:rsidR="008D19E5" w:rsidRPr="003A0FA1" w:rsidRDefault="008D19E5" w:rsidP="003342C3">
            <w:pPr>
              <w:rPr>
                <w:rFonts w:eastAsia="Arial"/>
                <w:sz w:val="18"/>
                <w:szCs w:val="18"/>
              </w:rPr>
            </w:pPr>
            <w:r w:rsidRPr="003A0FA1">
              <w:rPr>
                <w:rFonts w:eastAsia="Arial"/>
                <w:sz w:val="18"/>
                <w:szCs w:val="18"/>
              </w:rPr>
              <w:t>Discounts: description, type, amount, conditions</w:t>
            </w:r>
          </w:p>
          <w:p w:rsidR="008D19E5" w:rsidRPr="003A0FA1" w:rsidRDefault="008D19E5" w:rsidP="003342C3">
            <w:pPr>
              <w:rPr>
                <w:rFonts w:eastAsia="Arial"/>
                <w:sz w:val="18"/>
                <w:szCs w:val="18"/>
              </w:rPr>
            </w:pPr>
            <w:r w:rsidRPr="003A0FA1">
              <w:rPr>
                <w:rFonts w:eastAsia="Arial"/>
                <w:sz w:val="18"/>
                <w:szCs w:val="18"/>
              </w:rPr>
              <w:t>Deposit rate, lending rate, address, bundle details (i.e. details of other linked accounts)</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val="restart"/>
          </w:tcPr>
          <w:p w:rsidR="008D19E5" w:rsidRPr="003A0FA1" w:rsidRDefault="008D19E5" w:rsidP="003342C3">
            <w:pPr>
              <w:rPr>
                <w:rFonts w:eastAsia="Arial"/>
                <w:sz w:val="18"/>
                <w:szCs w:val="18"/>
              </w:rPr>
            </w:pPr>
            <w:r w:rsidRPr="003A0FA1">
              <w:rPr>
                <w:rFonts w:eastAsia="Arial"/>
                <w:sz w:val="18"/>
                <w:szCs w:val="18"/>
              </w:rPr>
              <w:t>Bank Payee</w:t>
            </w:r>
          </w:p>
        </w:tc>
        <w:tc>
          <w:tcPr>
            <w:tcW w:w="1914" w:type="dxa"/>
          </w:tcPr>
          <w:p w:rsidR="008D19E5" w:rsidRPr="003A0FA1" w:rsidRDefault="008D19E5" w:rsidP="003342C3">
            <w:pPr>
              <w:rPr>
                <w:rFonts w:eastAsia="Arial"/>
                <w:sz w:val="18"/>
                <w:szCs w:val="18"/>
              </w:rPr>
            </w:pPr>
            <w:r w:rsidRPr="003A0FA1">
              <w:rPr>
                <w:rFonts w:eastAsia="Arial"/>
                <w:sz w:val="18"/>
                <w:szCs w:val="18"/>
              </w:rPr>
              <w:t>Get Payees</w:t>
            </w:r>
          </w:p>
        </w:tc>
        <w:tc>
          <w:tcPr>
            <w:tcW w:w="3827" w:type="dxa"/>
          </w:tcPr>
          <w:p w:rsidR="008D19E5" w:rsidRPr="003A0FA1" w:rsidRDefault="008D19E5" w:rsidP="003342C3">
            <w:pPr>
              <w:rPr>
                <w:rFonts w:eastAsia="Arial"/>
                <w:sz w:val="18"/>
                <w:szCs w:val="18"/>
              </w:rPr>
            </w:pPr>
            <w:r w:rsidRPr="003A0FA1">
              <w:rPr>
                <w:rFonts w:eastAsia="Arial"/>
                <w:sz w:val="18"/>
                <w:szCs w:val="18"/>
              </w:rPr>
              <w:t xml:space="preserve">PayeeID, nickname, description, type (e.g. domestic, international biller) </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Payee Detail</w:t>
            </w:r>
          </w:p>
        </w:tc>
        <w:tc>
          <w:tcPr>
            <w:tcW w:w="3827" w:type="dxa"/>
          </w:tcPr>
          <w:p w:rsidR="008D19E5" w:rsidRPr="003A0FA1" w:rsidRDefault="008D19E5" w:rsidP="003342C3">
            <w:pPr>
              <w:rPr>
                <w:rFonts w:eastAsia="Arial"/>
                <w:sz w:val="18"/>
                <w:szCs w:val="18"/>
              </w:rPr>
            </w:pPr>
            <w:r w:rsidRPr="003A0FA1">
              <w:rPr>
                <w:rFonts w:eastAsia="Arial"/>
                <w:sz w:val="18"/>
                <w:szCs w:val="18"/>
              </w:rPr>
              <w:t>PayeeID, nickname, description, type (domestic, international, biller)</w:t>
            </w:r>
          </w:p>
          <w:p w:rsidR="008D19E5" w:rsidRPr="003A0FA1" w:rsidRDefault="008D19E5" w:rsidP="003342C3">
            <w:pPr>
              <w:rPr>
                <w:rFonts w:eastAsia="Arial"/>
                <w:sz w:val="18"/>
                <w:szCs w:val="18"/>
              </w:rPr>
            </w:pPr>
            <w:r w:rsidRPr="003A0FA1">
              <w:rPr>
                <w:rFonts w:eastAsia="Arial"/>
                <w:i/>
                <w:sz w:val="18"/>
                <w:szCs w:val="18"/>
              </w:rPr>
              <w:t>Domestic</w:t>
            </w:r>
            <w:r w:rsidRPr="003A0FA1">
              <w:rPr>
                <w:rFonts w:eastAsia="Arial"/>
                <w:sz w:val="18"/>
                <w:szCs w:val="18"/>
              </w:rPr>
              <w:t xml:space="preserve">: account (name, BSB, account number), Card (card number), PayID (name, identifier, type-mobile, email, organisation name) </w:t>
            </w:r>
          </w:p>
          <w:p w:rsidR="008D19E5" w:rsidRPr="003A0FA1" w:rsidRDefault="008D19E5" w:rsidP="003342C3">
            <w:pPr>
              <w:pStyle w:val="ListParagraph"/>
              <w:spacing w:before="60"/>
              <w:ind w:left="0"/>
              <w:rPr>
                <w:sz w:val="18"/>
                <w:szCs w:val="18"/>
              </w:rPr>
            </w:pPr>
            <w:r w:rsidRPr="003A0FA1">
              <w:rPr>
                <w:rFonts w:eastAsia="Arial"/>
                <w:i/>
                <w:sz w:val="18"/>
                <w:szCs w:val="18"/>
              </w:rPr>
              <w:t>International</w:t>
            </w:r>
            <w:r w:rsidRPr="003A0FA1">
              <w:rPr>
                <w:rFonts w:eastAsia="Arial"/>
                <w:sz w:val="18"/>
                <w:szCs w:val="18"/>
              </w:rPr>
              <w:t xml:space="preserve">: </w:t>
            </w:r>
            <w:r w:rsidRPr="003A0FA1">
              <w:rPr>
                <w:sz w:val="18"/>
                <w:szCs w:val="18"/>
              </w:rPr>
              <w:t>(beneficiary name/country/message, bank country/account number/address/name, Beneficiary Bank BIC/fed wire number/sort code/ chip number/ routing number)</w:t>
            </w:r>
          </w:p>
          <w:p w:rsidR="008D19E5" w:rsidRPr="003A0FA1" w:rsidRDefault="008D19E5" w:rsidP="003342C3">
            <w:pPr>
              <w:rPr>
                <w:rFonts w:eastAsia="Arial"/>
                <w:sz w:val="18"/>
                <w:szCs w:val="18"/>
              </w:rPr>
            </w:pPr>
            <w:r w:rsidRPr="003A0FA1">
              <w:rPr>
                <w:rFonts w:eastAsia="Arial"/>
                <w:i/>
                <w:sz w:val="18"/>
                <w:szCs w:val="18"/>
              </w:rPr>
              <w:t>Biller</w:t>
            </w:r>
            <w:r w:rsidRPr="003A0FA1">
              <w:rPr>
                <w:rFonts w:eastAsia="Arial"/>
                <w:sz w:val="18"/>
                <w:szCs w:val="18"/>
              </w:rPr>
              <w:t>: code, name</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val="restart"/>
          </w:tcPr>
          <w:p w:rsidR="008D19E5" w:rsidRPr="003A0FA1" w:rsidRDefault="008D19E5" w:rsidP="003342C3">
            <w:pPr>
              <w:rPr>
                <w:rFonts w:eastAsia="Arial"/>
                <w:sz w:val="18"/>
                <w:szCs w:val="18"/>
              </w:rPr>
            </w:pPr>
            <w:r>
              <w:rPr>
                <w:rFonts w:eastAsia="Arial"/>
                <w:sz w:val="18"/>
                <w:szCs w:val="18"/>
              </w:rPr>
              <w:t>Bank Regular Payments</w:t>
            </w:r>
          </w:p>
        </w:tc>
        <w:tc>
          <w:tcPr>
            <w:tcW w:w="1914" w:type="dxa"/>
          </w:tcPr>
          <w:p w:rsidR="008D19E5" w:rsidRPr="003A0FA1" w:rsidRDefault="008D19E5" w:rsidP="003342C3">
            <w:pPr>
              <w:rPr>
                <w:rFonts w:eastAsia="Arial"/>
                <w:sz w:val="18"/>
                <w:szCs w:val="18"/>
              </w:rPr>
            </w:pPr>
            <w:r w:rsidRPr="003A0FA1">
              <w:rPr>
                <w:rFonts w:eastAsia="Arial"/>
                <w:sz w:val="18"/>
                <w:szCs w:val="18"/>
              </w:rPr>
              <w:t>Get Direct Debits For Account</w:t>
            </w:r>
          </w:p>
        </w:tc>
        <w:tc>
          <w:tcPr>
            <w:tcW w:w="3827" w:type="dxa"/>
          </w:tcPr>
          <w:p w:rsidR="008D19E5" w:rsidRPr="003A0FA1" w:rsidRDefault="008D19E5" w:rsidP="003342C3">
            <w:pPr>
              <w:rPr>
                <w:rFonts w:eastAsia="Arial"/>
                <w:sz w:val="18"/>
                <w:szCs w:val="18"/>
              </w:rPr>
            </w:pPr>
            <w:r w:rsidRPr="003A0FA1">
              <w:rPr>
                <w:rFonts w:eastAsia="Arial"/>
                <w:sz w:val="18"/>
                <w:szCs w:val="18"/>
              </w:rPr>
              <w:t>Direct debit authorisations: account ID, authorised entity (name, financial institution, ABN, ACN), last debit date and time, last debit amount</w:t>
            </w:r>
          </w:p>
          <w:p w:rsidR="008D19E5" w:rsidRPr="003A0FA1" w:rsidRDefault="008D19E5" w:rsidP="003342C3">
            <w:pPr>
              <w:rPr>
                <w:rFonts w:eastAsia="Arial"/>
                <w:sz w:val="18"/>
                <w:szCs w:val="18"/>
              </w:rPr>
            </w:pP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Bulk Direct Debits</w:t>
            </w:r>
          </w:p>
        </w:tc>
        <w:tc>
          <w:tcPr>
            <w:tcW w:w="3827" w:type="dxa"/>
          </w:tcPr>
          <w:p w:rsidR="008D19E5" w:rsidRPr="003A0FA1" w:rsidRDefault="008D19E5" w:rsidP="003342C3">
            <w:pPr>
              <w:rPr>
                <w:rFonts w:eastAsia="Arial"/>
                <w:sz w:val="18"/>
                <w:szCs w:val="18"/>
              </w:rPr>
            </w:pPr>
            <w:r w:rsidRPr="003A0FA1">
              <w:rPr>
                <w:rFonts w:eastAsia="Arial"/>
                <w:sz w:val="18"/>
                <w:szCs w:val="18"/>
              </w:rPr>
              <w:t>List of direct debit authorisations</w:t>
            </w:r>
          </w:p>
          <w:p w:rsidR="008D19E5" w:rsidRPr="003A0FA1" w:rsidRDefault="008D19E5" w:rsidP="003342C3">
            <w:pPr>
              <w:rPr>
                <w:rFonts w:eastAsia="Arial"/>
                <w:sz w:val="18"/>
                <w:szCs w:val="18"/>
              </w:rPr>
            </w:pPr>
            <w:r w:rsidRPr="003A0FA1">
              <w:rPr>
                <w:rFonts w:eastAsia="Arial"/>
                <w:sz w:val="18"/>
                <w:szCs w:val="18"/>
              </w:rPr>
              <w:t>Direct debit authorisations: account ID, authorised entity (name, financial institution, ABN, ACN), last debit date and time, last debit amount</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Direct Debits For Specific Accounts</w:t>
            </w:r>
          </w:p>
        </w:tc>
        <w:tc>
          <w:tcPr>
            <w:tcW w:w="3827" w:type="dxa"/>
          </w:tcPr>
          <w:p w:rsidR="008D19E5" w:rsidRPr="003A0FA1" w:rsidRDefault="008D19E5" w:rsidP="003342C3">
            <w:pPr>
              <w:rPr>
                <w:sz w:val="18"/>
                <w:szCs w:val="18"/>
              </w:rPr>
            </w:pPr>
            <w:r w:rsidRPr="003A0FA1">
              <w:rPr>
                <w:sz w:val="18"/>
                <w:szCs w:val="18"/>
              </w:rPr>
              <w:t>Account ID</w:t>
            </w:r>
          </w:p>
          <w:p w:rsidR="008D19E5" w:rsidRPr="003A0FA1" w:rsidRDefault="008D19E5" w:rsidP="003342C3">
            <w:pPr>
              <w:rPr>
                <w:rFonts w:eastAsia="Arial"/>
                <w:sz w:val="18"/>
                <w:szCs w:val="18"/>
              </w:rPr>
            </w:pPr>
            <w:r w:rsidRPr="003A0FA1">
              <w:rPr>
                <w:sz w:val="18"/>
                <w:szCs w:val="18"/>
              </w:rPr>
              <w:t>Authorised entity information [Name, Financial institution, ABN, CAN, Last debit time, Last debit amount]</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E96D13">
              <w:rPr>
                <w:rFonts w:eastAsia="Arial"/>
                <w:sz w:val="18"/>
                <w:szCs w:val="18"/>
              </w:rPr>
              <w:t>Get Scheduled Payments for Account</w:t>
            </w:r>
          </w:p>
        </w:tc>
        <w:tc>
          <w:tcPr>
            <w:tcW w:w="3827" w:type="dxa"/>
          </w:tcPr>
          <w:p w:rsidR="008D19E5" w:rsidRPr="003A0FA1" w:rsidRDefault="008D19E5" w:rsidP="003342C3">
            <w:pPr>
              <w:rPr>
                <w:rFonts w:eastAsia="Arial"/>
                <w:sz w:val="18"/>
                <w:szCs w:val="18"/>
              </w:rPr>
            </w:pPr>
            <w:r>
              <w:rPr>
                <w:rFonts w:eastAsia="Arial"/>
                <w:sz w:val="18"/>
                <w:szCs w:val="18"/>
              </w:rPr>
              <w:t>Source of funds [Account ID], destination of funds [Payee details], amount, payment schedule</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E96D13">
              <w:rPr>
                <w:rFonts w:eastAsia="Arial"/>
                <w:sz w:val="18"/>
                <w:szCs w:val="18"/>
              </w:rPr>
              <w:t>Get Scheduled Payments Bulk</w:t>
            </w:r>
          </w:p>
        </w:tc>
        <w:tc>
          <w:tcPr>
            <w:tcW w:w="3827" w:type="dxa"/>
          </w:tcPr>
          <w:p w:rsidR="008D19E5" w:rsidRPr="003A0FA1" w:rsidRDefault="008D19E5" w:rsidP="003342C3">
            <w:pPr>
              <w:rPr>
                <w:rFonts w:eastAsia="Arial"/>
                <w:sz w:val="18"/>
                <w:szCs w:val="18"/>
              </w:rPr>
            </w:pPr>
            <w:r>
              <w:rPr>
                <w:rFonts w:eastAsia="Arial"/>
                <w:sz w:val="18"/>
                <w:szCs w:val="18"/>
              </w:rPr>
              <w:t>Source of funds [Account IDs], destination of funds [Payee details], amount, payment schedule</w:t>
            </w:r>
          </w:p>
        </w:tc>
      </w:tr>
      <w:tr w:rsidR="008D19E5" w:rsidRPr="00D025CC" w:rsidTr="00D525F1">
        <w:trPr>
          <w:trHeight w:val="134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E96D13">
              <w:rPr>
                <w:rFonts w:eastAsia="Arial"/>
                <w:sz w:val="18"/>
                <w:szCs w:val="18"/>
              </w:rPr>
              <w:t>Get Scheduled Payments For Specific Accounts</w:t>
            </w:r>
          </w:p>
        </w:tc>
        <w:tc>
          <w:tcPr>
            <w:tcW w:w="3827" w:type="dxa"/>
          </w:tcPr>
          <w:p w:rsidR="008D19E5" w:rsidRPr="003A0FA1" w:rsidRDefault="008D19E5" w:rsidP="003342C3">
            <w:pPr>
              <w:rPr>
                <w:rFonts w:eastAsia="Arial"/>
                <w:sz w:val="18"/>
                <w:szCs w:val="18"/>
              </w:rPr>
            </w:pPr>
            <w:r>
              <w:rPr>
                <w:rFonts w:eastAsia="Arial"/>
                <w:sz w:val="18"/>
                <w:szCs w:val="18"/>
              </w:rPr>
              <w:t>Source of funds [Account IDs], destination of funds [Payee details], amount, payment schedule</w:t>
            </w:r>
          </w:p>
        </w:tc>
      </w:tr>
      <w:tr w:rsidR="008D19E5" w:rsidRPr="00D025CC" w:rsidTr="00D525F1">
        <w:trPr>
          <w:trHeight w:val="714"/>
        </w:trPr>
        <w:tc>
          <w:tcPr>
            <w:tcW w:w="1980" w:type="dxa"/>
            <w:vMerge/>
          </w:tcPr>
          <w:p w:rsidR="008D19E5" w:rsidRPr="003A0FA1" w:rsidRDefault="008D19E5" w:rsidP="003342C3">
            <w:pPr>
              <w:rPr>
                <w:rFonts w:eastAsia="Arial"/>
                <w:sz w:val="18"/>
                <w:szCs w:val="18"/>
              </w:rPr>
            </w:pPr>
          </w:p>
        </w:tc>
        <w:tc>
          <w:tcPr>
            <w:tcW w:w="5245" w:type="dxa"/>
            <w:vMerge w:val="restart"/>
          </w:tcPr>
          <w:p w:rsidR="008D19E5" w:rsidRPr="003A0FA1" w:rsidRDefault="008D19E5" w:rsidP="003342C3">
            <w:pPr>
              <w:rPr>
                <w:rFonts w:eastAsia="Arial"/>
                <w:sz w:val="18"/>
                <w:szCs w:val="18"/>
              </w:rPr>
            </w:pPr>
            <w:r w:rsidRPr="003A0FA1">
              <w:rPr>
                <w:rFonts w:eastAsia="Arial"/>
                <w:sz w:val="18"/>
                <w:szCs w:val="18"/>
              </w:rPr>
              <w:t>‘</w:t>
            </w:r>
            <w:r w:rsidRPr="003A0FA1">
              <w:rPr>
                <w:rFonts w:eastAsia="Arial"/>
                <w:b/>
                <w:sz w:val="18"/>
                <w:szCs w:val="18"/>
              </w:rPr>
              <w:t>Transaction data</w:t>
            </w:r>
            <w:r w:rsidRPr="003A0FA1">
              <w:rPr>
                <w:rFonts w:eastAsia="Arial"/>
                <w:sz w:val="18"/>
                <w:szCs w:val="18"/>
              </w:rPr>
              <w:t>’ includes, at a minimum:</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the date on which the transaction occurred</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the relevant identifier for the counter-party to a transaction</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where the counter-party is a merchant, this will include information the merchant has provided as a mandatory inclusion, and any additional merchant identifiers the data holder may have added as an optional inclusion</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lastRenderedPageBreak/>
              <w:t>the amount debited or credited pursuant to a transaction</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any description of the transaction</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the ‘simple categorisation’ of the transaction (e.g., whether the transaction is debit, credit, fee, interest etc.)</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any additional, descriptive categorisation of the transaction added by the data holder (e.g., ‘transport’, ‘health’, ‘entertainment’ etc.) is not a mandatory inclusion but may be included.</w:t>
            </w:r>
          </w:p>
        </w:tc>
        <w:tc>
          <w:tcPr>
            <w:tcW w:w="1913" w:type="dxa"/>
            <w:vMerge w:val="restart"/>
          </w:tcPr>
          <w:p w:rsidR="008D19E5" w:rsidRPr="003A0FA1" w:rsidRDefault="008D19E5" w:rsidP="003342C3">
            <w:pPr>
              <w:rPr>
                <w:rFonts w:eastAsia="Arial"/>
                <w:sz w:val="18"/>
                <w:szCs w:val="18"/>
              </w:rPr>
            </w:pPr>
            <w:r w:rsidRPr="003A0FA1">
              <w:rPr>
                <w:rFonts w:eastAsia="Arial"/>
                <w:sz w:val="18"/>
                <w:szCs w:val="18"/>
              </w:rPr>
              <w:lastRenderedPageBreak/>
              <w:t>Bank Transactions Data</w:t>
            </w:r>
          </w:p>
        </w:tc>
        <w:tc>
          <w:tcPr>
            <w:tcW w:w="1914" w:type="dxa"/>
          </w:tcPr>
          <w:p w:rsidR="008D19E5" w:rsidRPr="003A0FA1" w:rsidRDefault="008D19E5" w:rsidP="003342C3">
            <w:pPr>
              <w:rPr>
                <w:rFonts w:eastAsia="Arial"/>
                <w:sz w:val="18"/>
                <w:szCs w:val="18"/>
              </w:rPr>
            </w:pPr>
            <w:r w:rsidRPr="003A0FA1">
              <w:rPr>
                <w:rFonts w:eastAsia="Arial"/>
                <w:sz w:val="18"/>
                <w:szCs w:val="18"/>
              </w:rPr>
              <w:t>Get Transactions For Account</w:t>
            </w:r>
          </w:p>
        </w:tc>
        <w:tc>
          <w:tcPr>
            <w:tcW w:w="3827" w:type="dxa"/>
          </w:tcPr>
          <w:p w:rsidR="008D19E5" w:rsidRPr="003A0FA1" w:rsidRDefault="008D19E5" w:rsidP="003342C3">
            <w:pPr>
              <w:rPr>
                <w:rFonts w:eastAsia="Arial"/>
                <w:sz w:val="18"/>
                <w:szCs w:val="18"/>
              </w:rPr>
            </w:pPr>
            <w:r w:rsidRPr="003A0FA1">
              <w:rPr>
                <w:rFonts w:eastAsia="Arial"/>
                <w:sz w:val="18"/>
                <w:szCs w:val="18"/>
              </w:rPr>
              <w:t>Account ID, display name, nickname, list of transactions (transaction ID, status, description, post time, execution time, amount, currency], reference number from merchant)</w:t>
            </w:r>
            <w:r>
              <w:rPr>
                <w:rFonts w:eastAsia="Arial"/>
                <w:sz w:val="18"/>
                <w:szCs w:val="18"/>
              </w:rPr>
              <w:t>, merchant details, biller details</w:t>
            </w:r>
          </w:p>
        </w:tc>
      </w:tr>
      <w:tr w:rsidR="008D19E5" w:rsidRPr="00D025CC" w:rsidTr="00D525F1">
        <w:trPr>
          <w:trHeight w:val="712"/>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Transaction Detail</w:t>
            </w:r>
          </w:p>
        </w:tc>
        <w:tc>
          <w:tcPr>
            <w:tcW w:w="3827" w:type="dxa"/>
          </w:tcPr>
          <w:p w:rsidR="008D19E5" w:rsidRPr="003A0FA1" w:rsidRDefault="008D19E5" w:rsidP="003342C3">
            <w:pPr>
              <w:rPr>
                <w:rFonts w:eastAsia="Arial"/>
                <w:sz w:val="18"/>
                <w:szCs w:val="18"/>
              </w:rPr>
            </w:pPr>
            <w:r w:rsidRPr="003A0FA1">
              <w:rPr>
                <w:rFonts w:eastAsia="Arial"/>
                <w:sz w:val="18"/>
                <w:szCs w:val="18"/>
              </w:rPr>
              <w:t>Account ID, display name, nickname, list of transactions (transaction ID, status, description, post time, execution time, amount, currency, reference number from merchant)</w:t>
            </w:r>
            <w:r>
              <w:rPr>
                <w:rFonts w:eastAsia="Arial"/>
                <w:sz w:val="18"/>
                <w:szCs w:val="18"/>
              </w:rPr>
              <w:t>, merchant details, biller details</w:t>
            </w:r>
            <w:r w:rsidRPr="003A0FA1">
              <w:rPr>
                <w:rFonts w:eastAsia="Arial"/>
                <w:sz w:val="18"/>
                <w:szCs w:val="18"/>
              </w:rPr>
              <w:t xml:space="preserve">, payer, payee, extended description </w:t>
            </w:r>
          </w:p>
        </w:tc>
      </w:tr>
      <w:tr w:rsidR="008D19E5" w:rsidRPr="00D025CC" w:rsidTr="00D525F1">
        <w:trPr>
          <w:trHeight w:val="712"/>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 xml:space="preserve">Get Bulk Transactions </w:t>
            </w:r>
          </w:p>
        </w:tc>
        <w:tc>
          <w:tcPr>
            <w:tcW w:w="3827" w:type="dxa"/>
          </w:tcPr>
          <w:p w:rsidR="008D19E5" w:rsidRPr="003A0FA1" w:rsidRDefault="008D19E5" w:rsidP="003342C3">
            <w:pPr>
              <w:rPr>
                <w:rFonts w:eastAsia="Arial"/>
                <w:sz w:val="18"/>
                <w:szCs w:val="18"/>
              </w:rPr>
            </w:pPr>
            <w:r w:rsidRPr="003A0FA1">
              <w:rPr>
                <w:sz w:val="18"/>
                <w:szCs w:val="18"/>
              </w:rPr>
              <w:t xml:space="preserve">Account ID, list of transactions </w:t>
            </w:r>
            <w:r w:rsidRPr="003A0FA1">
              <w:rPr>
                <w:rFonts w:eastAsia="Arial"/>
                <w:sz w:val="18"/>
                <w:szCs w:val="18"/>
              </w:rPr>
              <w:t>(transaction ID, status, description, post time, execution time, amount, currency, r</w:t>
            </w:r>
            <w:r>
              <w:rPr>
                <w:rFonts w:eastAsia="Arial"/>
                <w:sz w:val="18"/>
                <w:szCs w:val="18"/>
              </w:rPr>
              <w:t>eference number from merchant), merchant details, biller details</w:t>
            </w:r>
          </w:p>
        </w:tc>
      </w:tr>
      <w:tr w:rsidR="008D19E5" w:rsidRPr="00D025CC" w:rsidTr="00D525F1">
        <w:trPr>
          <w:trHeight w:val="712"/>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Transactions For Specific Accounts</w:t>
            </w:r>
          </w:p>
        </w:tc>
        <w:tc>
          <w:tcPr>
            <w:tcW w:w="3827" w:type="dxa"/>
          </w:tcPr>
          <w:p w:rsidR="008D19E5" w:rsidRPr="003A0FA1" w:rsidRDefault="008D19E5" w:rsidP="003342C3">
            <w:pPr>
              <w:rPr>
                <w:rFonts w:eastAsia="Arial"/>
                <w:sz w:val="18"/>
                <w:szCs w:val="18"/>
              </w:rPr>
            </w:pPr>
            <w:r w:rsidRPr="003A0FA1">
              <w:rPr>
                <w:sz w:val="18"/>
                <w:szCs w:val="18"/>
              </w:rPr>
              <w:t xml:space="preserve">Account ID, transactions </w:t>
            </w:r>
            <w:r w:rsidRPr="003A0FA1">
              <w:rPr>
                <w:rFonts w:eastAsia="Arial"/>
                <w:sz w:val="18"/>
                <w:szCs w:val="18"/>
              </w:rPr>
              <w:t xml:space="preserve">(transaction ID, status, description, post time, execution time, amount, currency, </w:t>
            </w:r>
            <w:r>
              <w:rPr>
                <w:rFonts w:eastAsia="Arial"/>
                <w:sz w:val="18"/>
                <w:szCs w:val="18"/>
              </w:rPr>
              <w:t>reference number from merchant), merchant details, biller details</w:t>
            </w:r>
          </w:p>
        </w:tc>
      </w:tr>
      <w:tr w:rsidR="008D19E5" w:rsidRPr="00D025CC" w:rsidTr="00D525F1">
        <w:trPr>
          <w:trHeight w:val="2180"/>
        </w:trPr>
        <w:tc>
          <w:tcPr>
            <w:tcW w:w="1980" w:type="dxa"/>
            <w:vMerge w:val="restart"/>
          </w:tcPr>
          <w:p w:rsidR="008D19E5" w:rsidRPr="003A0FA1" w:rsidRDefault="008D19E5" w:rsidP="003342C3">
            <w:pPr>
              <w:rPr>
                <w:rFonts w:eastAsia="Arial"/>
                <w:sz w:val="18"/>
                <w:szCs w:val="18"/>
              </w:rPr>
            </w:pPr>
            <w:r w:rsidRPr="003A0FA1">
              <w:rPr>
                <w:rFonts w:eastAsia="Arial"/>
                <w:sz w:val="18"/>
                <w:szCs w:val="18"/>
              </w:rPr>
              <w:t>Information about a product</w:t>
            </w:r>
          </w:p>
        </w:tc>
        <w:tc>
          <w:tcPr>
            <w:tcW w:w="5245" w:type="dxa"/>
            <w:vMerge w:val="restart"/>
          </w:tcPr>
          <w:p w:rsidR="008D19E5" w:rsidRPr="003A0FA1" w:rsidRDefault="008D19E5" w:rsidP="003342C3">
            <w:pPr>
              <w:rPr>
                <w:rFonts w:eastAsia="Arial"/>
                <w:sz w:val="18"/>
                <w:szCs w:val="18"/>
              </w:rPr>
            </w:pPr>
            <w:r w:rsidRPr="003A0FA1">
              <w:rPr>
                <w:rFonts w:eastAsia="Arial"/>
                <w:sz w:val="18"/>
                <w:szCs w:val="18"/>
              </w:rPr>
              <w:t>‘</w:t>
            </w:r>
            <w:r w:rsidRPr="003A0FA1">
              <w:rPr>
                <w:rFonts w:eastAsia="Arial"/>
                <w:b/>
                <w:sz w:val="18"/>
                <w:szCs w:val="18"/>
              </w:rPr>
              <w:t>Product data</w:t>
            </w:r>
            <w:r w:rsidRPr="003A0FA1">
              <w:rPr>
                <w:rFonts w:eastAsia="Arial"/>
                <w:sz w:val="18"/>
                <w:szCs w:val="18"/>
              </w:rPr>
              <w:t>’ includes consumer product data, that is product data that relates to an account(s) held by a consumer and includes, at a minimum, data on:</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product type</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product name</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product prices, including fees, charges, interest rates etc (however described)</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interest rates will include the current applicable interest rate, as well as any other interest rates applicable to the product, and any terms and conditions associated with those interest rates</w:t>
            </w:r>
          </w:p>
          <w:p w:rsidR="008D19E5" w:rsidRPr="003A0FA1" w:rsidRDefault="008D19E5" w:rsidP="008D19E5">
            <w:pPr>
              <w:pStyle w:val="ListParagraph"/>
              <w:numPr>
                <w:ilvl w:val="1"/>
                <w:numId w:val="24"/>
              </w:numPr>
              <w:tabs>
                <w:tab w:val="left" w:pos="340"/>
              </w:tabs>
              <w:spacing w:before="120"/>
              <w:contextualSpacing w:val="0"/>
              <w:rPr>
                <w:rFonts w:eastAsia="Arial"/>
                <w:sz w:val="18"/>
                <w:szCs w:val="18"/>
              </w:rPr>
            </w:pPr>
            <w:r w:rsidRPr="003A0FA1">
              <w:rPr>
                <w:rFonts w:eastAsia="Arial"/>
                <w:sz w:val="18"/>
                <w:szCs w:val="18"/>
              </w:rPr>
              <w:t>these will include details of any prices etc negotiated individually with the consumer</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features and benefits, including discounts, bundles etc (however described), including details of any features and benefits negotiated with the customer</w:t>
            </w:r>
          </w:p>
          <w:p w:rsidR="008D19E5" w:rsidRPr="003A0FA1" w:rsidRDefault="008D19E5" w:rsidP="008D19E5">
            <w:pPr>
              <w:pStyle w:val="ListParagraph"/>
              <w:numPr>
                <w:ilvl w:val="0"/>
                <w:numId w:val="24"/>
              </w:numPr>
              <w:tabs>
                <w:tab w:val="left" w:pos="340"/>
              </w:tabs>
              <w:spacing w:before="120"/>
              <w:contextualSpacing w:val="0"/>
              <w:rPr>
                <w:rFonts w:eastAsia="Arial"/>
                <w:sz w:val="18"/>
                <w:szCs w:val="18"/>
              </w:rPr>
            </w:pPr>
            <w:r w:rsidRPr="003A0FA1">
              <w:rPr>
                <w:rFonts w:eastAsia="Arial"/>
                <w:sz w:val="18"/>
                <w:szCs w:val="18"/>
              </w:rPr>
              <w:t>terms and conditions</w:t>
            </w:r>
          </w:p>
          <w:p w:rsidR="008D19E5" w:rsidRPr="003A0FA1" w:rsidRDefault="008D19E5" w:rsidP="008D19E5">
            <w:pPr>
              <w:pStyle w:val="ListParagraph"/>
              <w:numPr>
                <w:ilvl w:val="0"/>
                <w:numId w:val="24"/>
              </w:numPr>
              <w:tabs>
                <w:tab w:val="left" w:pos="340"/>
              </w:tabs>
              <w:spacing w:before="120" w:after="60"/>
              <w:contextualSpacing w:val="0"/>
              <w:rPr>
                <w:rFonts w:eastAsia="Arial"/>
                <w:sz w:val="18"/>
                <w:szCs w:val="18"/>
              </w:rPr>
            </w:pPr>
            <w:r w:rsidRPr="003A0FA1">
              <w:rPr>
                <w:rFonts w:eastAsia="Arial"/>
                <w:sz w:val="18"/>
                <w:szCs w:val="18"/>
              </w:rPr>
              <w:t>customer eligibility requirements.</w:t>
            </w:r>
          </w:p>
        </w:tc>
        <w:tc>
          <w:tcPr>
            <w:tcW w:w="1913" w:type="dxa"/>
            <w:vMerge w:val="restart"/>
          </w:tcPr>
          <w:p w:rsidR="008D19E5" w:rsidRPr="003A0FA1" w:rsidRDefault="008D19E5" w:rsidP="003342C3">
            <w:pPr>
              <w:rPr>
                <w:rFonts w:eastAsia="Arial"/>
                <w:sz w:val="18"/>
                <w:szCs w:val="18"/>
              </w:rPr>
            </w:pPr>
            <w:r w:rsidRPr="003A0FA1">
              <w:rPr>
                <w:rFonts w:eastAsia="Arial"/>
                <w:sz w:val="18"/>
                <w:szCs w:val="18"/>
              </w:rPr>
              <w:t>Public data</w:t>
            </w:r>
          </w:p>
        </w:tc>
        <w:tc>
          <w:tcPr>
            <w:tcW w:w="1914" w:type="dxa"/>
          </w:tcPr>
          <w:p w:rsidR="008D19E5" w:rsidRPr="003A0FA1" w:rsidRDefault="008D19E5" w:rsidP="003342C3">
            <w:pPr>
              <w:rPr>
                <w:rFonts w:eastAsia="Arial"/>
                <w:sz w:val="18"/>
                <w:szCs w:val="18"/>
              </w:rPr>
            </w:pPr>
            <w:r w:rsidRPr="003A0FA1">
              <w:rPr>
                <w:rFonts w:eastAsia="Arial"/>
                <w:sz w:val="18"/>
                <w:szCs w:val="18"/>
              </w:rPr>
              <w:t>Get Products</w:t>
            </w:r>
          </w:p>
        </w:tc>
        <w:tc>
          <w:tcPr>
            <w:tcW w:w="3827" w:type="dxa"/>
          </w:tcPr>
          <w:p w:rsidR="008D19E5" w:rsidRPr="003A0FA1" w:rsidRDefault="008D19E5" w:rsidP="003342C3">
            <w:pPr>
              <w:rPr>
                <w:rFonts w:eastAsia="Arial"/>
                <w:sz w:val="18"/>
                <w:szCs w:val="18"/>
              </w:rPr>
            </w:pPr>
            <w:r w:rsidRPr="003A0FA1">
              <w:rPr>
                <w:rFonts w:eastAsia="Arial"/>
                <w:sz w:val="18"/>
                <w:szCs w:val="18"/>
              </w:rPr>
              <w:t>Products ID, effective from and to, last updated, product category, product name, description, brand, application URI, overview URI, terms URI, eligibility URI, fees and pricing URI, bundle URI</w:t>
            </w:r>
          </w:p>
        </w:tc>
      </w:tr>
      <w:tr w:rsidR="008D19E5" w:rsidRPr="00D025CC" w:rsidTr="00D525F1">
        <w:trPr>
          <w:trHeight w:val="2180"/>
        </w:trPr>
        <w:tc>
          <w:tcPr>
            <w:tcW w:w="1980" w:type="dxa"/>
            <w:vMerge/>
          </w:tcPr>
          <w:p w:rsidR="008D19E5" w:rsidRPr="003A0FA1" w:rsidRDefault="008D19E5" w:rsidP="003342C3">
            <w:pPr>
              <w:rPr>
                <w:rFonts w:eastAsia="Arial"/>
                <w:sz w:val="18"/>
                <w:szCs w:val="18"/>
              </w:rPr>
            </w:pPr>
          </w:p>
        </w:tc>
        <w:tc>
          <w:tcPr>
            <w:tcW w:w="5245" w:type="dxa"/>
            <w:vMerge/>
          </w:tcPr>
          <w:p w:rsidR="008D19E5" w:rsidRPr="003A0FA1" w:rsidRDefault="008D19E5" w:rsidP="003342C3">
            <w:pPr>
              <w:rPr>
                <w:rFonts w:eastAsia="Arial"/>
                <w:sz w:val="18"/>
                <w:szCs w:val="18"/>
              </w:rPr>
            </w:pPr>
          </w:p>
        </w:tc>
        <w:tc>
          <w:tcPr>
            <w:tcW w:w="1913" w:type="dxa"/>
            <w:vMerge/>
          </w:tcPr>
          <w:p w:rsidR="008D19E5" w:rsidRPr="003A0FA1" w:rsidRDefault="008D19E5" w:rsidP="003342C3">
            <w:pPr>
              <w:rPr>
                <w:rFonts w:eastAsia="Arial"/>
                <w:sz w:val="18"/>
                <w:szCs w:val="18"/>
              </w:rPr>
            </w:pPr>
          </w:p>
        </w:tc>
        <w:tc>
          <w:tcPr>
            <w:tcW w:w="1914" w:type="dxa"/>
          </w:tcPr>
          <w:p w:rsidR="008D19E5" w:rsidRPr="003A0FA1" w:rsidRDefault="008D19E5" w:rsidP="003342C3">
            <w:pPr>
              <w:rPr>
                <w:rFonts w:eastAsia="Arial"/>
                <w:sz w:val="18"/>
                <w:szCs w:val="18"/>
              </w:rPr>
            </w:pPr>
            <w:r w:rsidRPr="003A0FA1">
              <w:rPr>
                <w:rFonts w:eastAsia="Arial"/>
                <w:sz w:val="18"/>
                <w:szCs w:val="18"/>
              </w:rPr>
              <w:t>Get Product Detail</w:t>
            </w:r>
          </w:p>
        </w:tc>
        <w:tc>
          <w:tcPr>
            <w:tcW w:w="3827" w:type="dxa"/>
          </w:tcPr>
          <w:p w:rsidR="008D19E5" w:rsidRPr="003A0FA1" w:rsidRDefault="008D19E5" w:rsidP="003342C3">
            <w:pPr>
              <w:rPr>
                <w:rFonts w:eastAsia="Arial"/>
                <w:sz w:val="18"/>
                <w:szCs w:val="18"/>
              </w:rPr>
            </w:pPr>
            <w:r w:rsidRPr="003A0FA1">
              <w:rPr>
                <w:rFonts w:eastAsia="Arial"/>
                <w:sz w:val="18"/>
                <w:szCs w:val="18"/>
              </w:rPr>
              <w:t xml:space="preserve">Products ID, effective from and to, last updated, product category, product name, description, brand, application URI, overview URI, </w:t>
            </w:r>
          </w:p>
          <w:p w:rsidR="008D19E5" w:rsidRPr="003A0FA1" w:rsidRDefault="008D19E5" w:rsidP="003342C3">
            <w:pPr>
              <w:rPr>
                <w:sz w:val="18"/>
                <w:szCs w:val="18"/>
              </w:rPr>
            </w:pPr>
            <w:r w:rsidRPr="003A0FA1">
              <w:rPr>
                <w:sz w:val="18"/>
                <w:szCs w:val="18"/>
              </w:rPr>
              <w:t>Eligibility (eligibility URI, type and additional information)</w:t>
            </w:r>
          </w:p>
          <w:p w:rsidR="008D19E5" w:rsidRPr="003A0FA1" w:rsidRDefault="008D19E5" w:rsidP="003342C3">
            <w:pPr>
              <w:rPr>
                <w:sz w:val="18"/>
                <w:szCs w:val="18"/>
              </w:rPr>
            </w:pPr>
            <w:r w:rsidRPr="003A0FA1">
              <w:rPr>
                <w:sz w:val="18"/>
                <w:szCs w:val="18"/>
              </w:rPr>
              <w:t>Fees and Pricing (fees and pricing URI, name, type, amount, balance rate, transaction rate, currency, additional info, discounts)</w:t>
            </w:r>
          </w:p>
          <w:p w:rsidR="008D19E5" w:rsidRPr="003A0FA1" w:rsidRDefault="008D19E5" w:rsidP="003342C3">
            <w:pPr>
              <w:rPr>
                <w:sz w:val="18"/>
                <w:szCs w:val="18"/>
              </w:rPr>
            </w:pPr>
            <w:r w:rsidRPr="003A0FA1">
              <w:rPr>
                <w:sz w:val="18"/>
                <w:szCs w:val="18"/>
              </w:rPr>
              <w:t>Bundle (bundle URI, name, description, additional information URI, product IDs)</w:t>
            </w:r>
          </w:p>
          <w:p w:rsidR="008D19E5" w:rsidRPr="003A0FA1" w:rsidRDefault="008D19E5" w:rsidP="003342C3">
            <w:pPr>
              <w:rPr>
                <w:sz w:val="18"/>
                <w:szCs w:val="18"/>
              </w:rPr>
            </w:pPr>
            <w:r w:rsidRPr="003A0FA1">
              <w:rPr>
                <w:sz w:val="18"/>
                <w:szCs w:val="18"/>
              </w:rPr>
              <w:t>Features (type and additional information)</w:t>
            </w:r>
          </w:p>
          <w:p w:rsidR="008D19E5" w:rsidRPr="003A0FA1" w:rsidRDefault="008D19E5" w:rsidP="003342C3">
            <w:pPr>
              <w:rPr>
                <w:sz w:val="18"/>
                <w:szCs w:val="18"/>
              </w:rPr>
            </w:pPr>
            <w:r w:rsidRPr="003A0FA1">
              <w:rPr>
                <w:sz w:val="18"/>
                <w:szCs w:val="18"/>
              </w:rPr>
              <w:t>Constraints (type and additional information)</w:t>
            </w:r>
          </w:p>
          <w:p w:rsidR="008D19E5" w:rsidRPr="003A0FA1" w:rsidRDefault="008D19E5" w:rsidP="003342C3">
            <w:pPr>
              <w:rPr>
                <w:sz w:val="18"/>
                <w:szCs w:val="18"/>
              </w:rPr>
            </w:pPr>
            <w:r>
              <w:rPr>
                <w:sz w:val="18"/>
                <w:szCs w:val="18"/>
              </w:rPr>
              <w:t>R</w:t>
            </w:r>
            <w:r w:rsidRPr="003A0FA1">
              <w:rPr>
                <w:sz w:val="18"/>
                <w:szCs w:val="18"/>
              </w:rPr>
              <w:t>ate</w:t>
            </w:r>
            <w:r>
              <w:rPr>
                <w:sz w:val="18"/>
                <w:szCs w:val="18"/>
              </w:rPr>
              <w:t>s</w:t>
            </w:r>
            <w:r w:rsidRPr="003A0FA1">
              <w:rPr>
                <w:sz w:val="18"/>
                <w:szCs w:val="18"/>
              </w:rPr>
              <w:t xml:space="preserve"> (type, </w:t>
            </w:r>
            <w:r>
              <w:rPr>
                <w:sz w:val="18"/>
                <w:szCs w:val="18"/>
              </w:rPr>
              <w:t xml:space="preserve">tiers, </w:t>
            </w:r>
            <w:r w:rsidRPr="003A0FA1">
              <w:rPr>
                <w:sz w:val="18"/>
                <w:szCs w:val="18"/>
              </w:rPr>
              <w:t>additional info)</w:t>
            </w:r>
          </w:p>
          <w:p w:rsidR="008D19E5" w:rsidRPr="003A0FA1" w:rsidRDefault="008D19E5" w:rsidP="003342C3">
            <w:pPr>
              <w:rPr>
                <w:rFonts w:eastAsia="Arial"/>
                <w:sz w:val="18"/>
                <w:szCs w:val="18"/>
              </w:rPr>
            </w:pPr>
            <w:r w:rsidRPr="003A0FA1">
              <w:rPr>
                <w:sz w:val="18"/>
                <w:szCs w:val="18"/>
              </w:rPr>
              <w:t>Repayment type (interest only, principal and interest, negotiable)</w:t>
            </w:r>
          </w:p>
        </w:tc>
      </w:tr>
    </w:tbl>
    <w:p w:rsidR="008D19E5" w:rsidRDefault="008D19E5" w:rsidP="008D19E5"/>
    <w:p w:rsidR="008D19E5" w:rsidRDefault="008D19E5" w:rsidP="007E5299">
      <w:pPr>
        <w:rPr>
          <w:rFonts w:ascii="Times New Roman" w:eastAsia="Times New Roman" w:hAnsi="Times New Roman"/>
          <w:szCs w:val="24"/>
        </w:rPr>
      </w:pPr>
    </w:p>
    <w:p w:rsidR="000D5EFA" w:rsidRDefault="000D5EFA" w:rsidP="007E5299">
      <w:pPr>
        <w:rPr>
          <w:rFonts w:ascii="Times New Roman" w:eastAsia="Times New Roman" w:hAnsi="Times New Roman"/>
          <w:szCs w:val="24"/>
        </w:rPr>
      </w:pPr>
    </w:p>
    <w:p w:rsidR="006805A4" w:rsidRDefault="006805A4">
      <w:pPr>
        <w:pStyle w:val="Heading3"/>
        <w:sectPr w:rsidR="006805A4" w:rsidSect="006805A4">
          <w:headerReference w:type="default" r:id="rId18"/>
          <w:pgSz w:w="16838" w:h="11906" w:orient="landscape"/>
          <w:pgMar w:top="851" w:right="1418" w:bottom="851" w:left="567" w:header="709" w:footer="709" w:gutter="0"/>
          <w:cols w:space="708"/>
          <w:docGrid w:linePitch="360"/>
        </w:sectPr>
      </w:pPr>
    </w:p>
    <w:p w:rsidR="000D5EFA" w:rsidRPr="00FD7101" w:rsidRDefault="000D5EFA">
      <w:pPr>
        <w:pStyle w:val="Heading3"/>
      </w:pPr>
      <w:r w:rsidRPr="00FD7101">
        <w:lastRenderedPageBreak/>
        <w:t>Consumer Experience</w:t>
      </w:r>
    </w:p>
    <w:p w:rsidR="00D13284"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 xml:space="preserve">Since December 2018 the Consumer Experience work stream has completed Phase One of design and research activities and is mid-way through a </w:t>
      </w:r>
      <w:r>
        <w:rPr>
          <w:rFonts w:eastAsia="Times New Roman"/>
          <w:color w:val="000000"/>
          <w:sz w:val="24"/>
          <w:szCs w:val="24"/>
          <w:lang w:eastAsia="en-AU"/>
        </w:rPr>
        <w:t>second phase of consumer experience testing</w:t>
      </w:r>
      <w:r w:rsidRPr="00A04C7D">
        <w:rPr>
          <w:rFonts w:eastAsia="Times New Roman"/>
          <w:color w:val="000000"/>
          <w:sz w:val="24"/>
          <w:szCs w:val="24"/>
          <w:lang w:eastAsia="en-AU"/>
        </w:rPr>
        <w:t>. This work seeks to</w:t>
      </w:r>
      <w:r>
        <w:rPr>
          <w:rFonts w:eastAsia="Times New Roman"/>
          <w:color w:val="000000"/>
          <w:sz w:val="24"/>
          <w:szCs w:val="24"/>
          <w:lang w:eastAsia="en-AU"/>
        </w:rPr>
        <w:t>:</w:t>
      </w:r>
    </w:p>
    <w:p w:rsidR="00D525F1" w:rsidRDefault="00D525F1" w:rsidP="00D13284">
      <w:pPr>
        <w:rPr>
          <w:rFonts w:eastAsia="Times New Roman"/>
          <w:color w:val="000000"/>
          <w:sz w:val="24"/>
          <w:szCs w:val="24"/>
          <w:lang w:eastAsia="en-AU"/>
        </w:rPr>
      </w:pPr>
    </w:p>
    <w:p w:rsidR="00D13284" w:rsidRPr="00D525F1" w:rsidRDefault="007C50F7"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T</w:t>
      </w:r>
      <w:r w:rsidR="00D13284" w:rsidRPr="00D525F1">
        <w:rPr>
          <w:rFonts w:ascii="Calibri" w:hAnsi="Calibri" w:cs="Calibri"/>
          <w:color w:val="000000"/>
        </w:rPr>
        <w:t>est the current version of the proposed technical standards where it relates to consumer interactions</w:t>
      </w:r>
      <w:r w:rsidR="00D525F1">
        <w:rPr>
          <w:rFonts w:ascii="Calibri" w:hAnsi="Calibri" w:cs="Calibri"/>
          <w:color w:val="000000"/>
        </w:rPr>
        <w:t>;</w:t>
      </w:r>
    </w:p>
    <w:p w:rsidR="00D13284" w:rsidRPr="00D525F1" w:rsidRDefault="007C50F7"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T</w:t>
      </w:r>
      <w:r w:rsidRPr="00D525F1">
        <w:rPr>
          <w:rFonts w:ascii="Calibri" w:hAnsi="Calibri" w:cs="Calibri"/>
          <w:color w:val="000000"/>
        </w:rPr>
        <w:t xml:space="preserve">est </w:t>
      </w:r>
      <w:r w:rsidR="00D13284" w:rsidRPr="00D525F1">
        <w:rPr>
          <w:rFonts w:ascii="Calibri" w:hAnsi="Calibri" w:cs="Calibri"/>
          <w:color w:val="000000"/>
        </w:rPr>
        <w:t>the effect of the current version of the ACCC Rules</w:t>
      </w:r>
      <w:r w:rsidR="00D525F1">
        <w:rPr>
          <w:rFonts w:ascii="Calibri" w:hAnsi="Calibri" w:cs="Calibri"/>
          <w:color w:val="000000"/>
        </w:rPr>
        <w:t>;</w:t>
      </w:r>
      <w:r w:rsidR="00D13284" w:rsidRPr="00D525F1">
        <w:rPr>
          <w:rFonts w:ascii="Calibri" w:hAnsi="Calibri" w:cs="Calibri"/>
          <w:color w:val="000000"/>
        </w:rPr>
        <w:t xml:space="preserve"> and </w:t>
      </w:r>
    </w:p>
    <w:p w:rsidR="00D13284" w:rsidRPr="00D525F1" w:rsidRDefault="007C50F7" w:rsidP="006A162C">
      <w:pPr>
        <w:pStyle w:val="NormalWeb"/>
        <w:numPr>
          <w:ilvl w:val="0"/>
          <w:numId w:val="14"/>
        </w:numPr>
        <w:spacing w:before="0" w:beforeAutospacing="0" w:after="120" w:afterAutospacing="0"/>
        <w:textAlignment w:val="baseline"/>
        <w:rPr>
          <w:rFonts w:ascii="Calibri" w:hAnsi="Calibri" w:cs="Calibri"/>
          <w:color w:val="000000"/>
        </w:rPr>
      </w:pPr>
      <w:r>
        <w:rPr>
          <w:rFonts w:ascii="Calibri" w:hAnsi="Calibri" w:cs="Calibri"/>
          <w:color w:val="000000"/>
        </w:rPr>
        <w:t>C</w:t>
      </w:r>
      <w:r w:rsidRPr="00D525F1">
        <w:rPr>
          <w:rFonts w:ascii="Calibri" w:hAnsi="Calibri" w:cs="Calibri"/>
          <w:color w:val="000000"/>
        </w:rPr>
        <w:t xml:space="preserve">onduct </w:t>
      </w:r>
      <w:r w:rsidR="00D13284" w:rsidRPr="00D525F1">
        <w:rPr>
          <w:rFonts w:ascii="Calibri" w:hAnsi="Calibri" w:cs="Calibri"/>
          <w:color w:val="000000"/>
        </w:rPr>
        <w:t>in-depth consumer consultation using a design research approach to help develop a simple and trusted data sharing experience for the Consumer Data Right ecosystem.</w:t>
      </w:r>
    </w:p>
    <w:p w:rsidR="00D13284" w:rsidRPr="000E2A73" w:rsidRDefault="000E2A73" w:rsidP="00D13284">
      <w:pPr>
        <w:rPr>
          <w:rFonts w:eastAsia="Times New Roman"/>
          <w:color w:val="000000"/>
          <w:sz w:val="24"/>
          <w:szCs w:val="24"/>
          <w:lang w:eastAsia="en-AU"/>
        </w:rPr>
      </w:pPr>
      <w:r w:rsidRPr="006A162C">
        <w:rPr>
          <w:color w:val="000000"/>
          <w:sz w:val="24"/>
          <w:szCs w:val="24"/>
        </w:rPr>
        <w:t>The ACCC, OAIC, and Treasury have been closely involved with the CX work stream to facilitate knowledge sharing and collaboration across government agencies.</w:t>
      </w:r>
    </w:p>
    <w:p w:rsidR="000E2A73" w:rsidRDefault="000E2A73" w:rsidP="00D13284">
      <w:pPr>
        <w:rPr>
          <w:rFonts w:eastAsia="Times New Roman"/>
          <w:b/>
          <w:bCs/>
          <w:color w:val="000000"/>
          <w:sz w:val="24"/>
          <w:szCs w:val="24"/>
          <w:lang w:eastAsia="en-AU"/>
        </w:rPr>
      </w:pPr>
    </w:p>
    <w:p w:rsidR="00D13284" w:rsidRDefault="00D13284" w:rsidP="00D13284">
      <w:pPr>
        <w:rPr>
          <w:rFonts w:eastAsia="Times New Roman"/>
          <w:b/>
          <w:bCs/>
          <w:color w:val="000000"/>
          <w:sz w:val="24"/>
          <w:szCs w:val="24"/>
          <w:lang w:eastAsia="en-AU"/>
        </w:rPr>
      </w:pPr>
      <w:r w:rsidRPr="00A04C7D">
        <w:rPr>
          <w:rFonts w:eastAsia="Times New Roman"/>
          <w:b/>
          <w:bCs/>
          <w:color w:val="000000"/>
          <w:sz w:val="24"/>
          <w:szCs w:val="24"/>
          <w:lang w:eastAsia="en-AU"/>
        </w:rPr>
        <w:t>The Scope of the CX work stream for CDR</w:t>
      </w:r>
    </w:p>
    <w:p w:rsidR="00D525F1" w:rsidRPr="00A04C7D" w:rsidRDefault="00D525F1" w:rsidP="00D13284">
      <w:pPr>
        <w:rPr>
          <w:rFonts w:eastAsia="Times New Roman"/>
          <w:b/>
          <w:bCs/>
          <w:color w:val="000000"/>
          <w:sz w:val="24"/>
          <w:szCs w:val="24"/>
          <w:lang w:eastAsia="en-AU"/>
        </w:rPr>
      </w:pPr>
    </w:p>
    <w:p w:rsidR="00D13284" w:rsidRPr="00A04C7D"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 xml:space="preserve">The scope of the Consumer Experience work stream will </w:t>
      </w:r>
      <w:r>
        <w:rPr>
          <w:rFonts w:eastAsia="Times New Roman"/>
          <w:color w:val="000000"/>
          <w:sz w:val="24"/>
          <w:szCs w:val="24"/>
          <w:lang w:eastAsia="en-AU"/>
        </w:rPr>
        <w:t xml:space="preserve">be to develop a set of CX Guidance which will </w:t>
      </w:r>
      <w:r w:rsidRPr="00A04C7D">
        <w:rPr>
          <w:rFonts w:eastAsia="Times New Roman"/>
          <w:color w:val="000000"/>
          <w:sz w:val="24"/>
          <w:szCs w:val="24"/>
          <w:lang w:eastAsia="en-AU"/>
        </w:rPr>
        <w:t>include:</w:t>
      </w:r>
    </w:p>
    <w:p w:rsidR="00D13284" w:rsidRPr="00A04C7D" w:rsidRDefault="00D13284" w:rsidP="006A162C">
      <w:pPr>
        <w:numPr>
          <w:ilvl w:val="0"/>
          <w:numId w:val="22"/>
        </w:numPr>
        <w:spacing w:after="120"/>
        <w:rPr>
          <w:rFonts w:eastAsia="Times New Roman"/>
          <w:color w:val="000000"/>
          <w:sz w:val="24"/>
          <w:szCs w:val="24"/>
          <w:lang w:eastAsia="en-AU"/>
        </w:rPr>
      </w:pPr>
      <w:r w:rsidRPr="00A04C7D">
        <w:rPr>
          <w:rFonts w:eastAsia="Times New Roman"/>
          <w:color w:val="000000"/>
          <w:sz w:val="24"/>
          <w:szCs w:val="24"/>
          <w:lang w:eastAsia="en-AU"/>
        </w:rPr>
        <w:t>The Consent Flow, namely:</w:t>
      </w:r>
    </w:p>
    <w:p w:rsidR="00D13284" w:rsidRPr="00A04C7D" w:rsidRDefault="00D13284" w:rsidP="00D13284">
      <w:pPr>
        <w:numPr>
          <w:ilvl w:val="1"/>
          <w:numId w:val="22"/>
        </w:numPr>
        <w:rPr>
          <w:rFonts w:eastAsia="Times New Roman"/>
          <w:color w:val="000000"/>
          <w:sz w:val="24"/>
          <w:szCs w:val="24"/>
          <w:lang w:eastAsia="en-AU"/>
        </w:rPr>
      </w:pPr>
      <w:r w:rsidRPr="00A04C7D">
        <w:rPr>
          <w:rFonts w:eastAsia="Times New Roman"/>
          <w:color w:val="000000"/>
          <w:sz w:val="24"/>
          <w:szCs w:val="24"/>
          <w:lang w:eastAsia="en-AU"/>
        </w:rPr>
        <w:t>Flows for data recipients requesting consent</w:t>
      </w:r>
    </w:p>
    <w:p w:rsidR="00D13284" w:rsidRPr="00A04C7D" w:rsidRDefault="00D13284" w:rsidP="00D13284">
      <w:pPr>
        <w:numPr>
          <w:ilvl w:val="1"/>
          <w:numId w:val="22"/>
        </w:numPr>
        <w:rPr>
          <w:rFonts w:eastAsia="Times New Roman"/>
          <w:color w:val="000000"/>
          <w:sz w:val="24"/>
          <w:szCs w:val="24"/>
          <w:lang w:eastAsia="en-AU"/>
        </w:rPr>
      </w:pPr>
      <w:r w:rsidRPr="00A04C7D">
        <w:rPr>
          <w:rFonts w:eastAsia="Times New Roman"/>
          <w:color w:val="000000"/>
          <w:sz w:val="24"/>
          <w:szCs w:val="24"/>
          <w:lang w:eastAsia="en-AU"/>
        </w:rPr>
        <w:t>Consumer authentication flows</w:t>
      </w:r>
    </w:p>
    <w:p w:rsidR="00D13284" w:rsidRPr="00A04C7D" w:rsidRDefault="00D13284" w:rsidP="00D13284">
      <w:pPr>
        <w:numPr>
          <w:ilvl w:val="1"/>
          <w:numId w:val="22"/>
        </w:numPr>
        <w:rPr>
          <w:rFonts w:eastAsia="Times New Roman"/>
          <w:color w:val="000000"/>
          <w:sz w:val="24"/>
          <w:szCs w:val="24"/>
          <w:lang w:eastAsia="en-AU"/>
        </w:rPr>
      </w:pPr>
      <w:r w:rsidRPr="00A04C7D">
        <w:rPr>
          <w:rFonts w:eastAsia="Times New Roman"/>
          <w:color w:val="000000"/>
          <w:sz w:val="24"/>
          <w:szCs w:val="24"/>
          <w:lang w:eastAsia="en-AU"/>
        </w:rPr>
        <w:t>Data holder authorisation flows</w:t>
      </w:r>
    </w:p>
    <w:p w:rsidR="00D13284" w:rsidRPr="00A04C7D" w:rsidRDefault="00D13284" w:rsidP="006A162C">
      <w:pPr>
        <w:numPr>
          <w:ilvl w:val="1"/>
          <w:numId w:val="22"/>
        </w:numPr>
        <w:spacing w:after="120"/>
        <w:rPr>
          <w:rFonts w:eastAsia="Times New Roman"/>
          <w:color w:val="000000"/>
          <w:sz w:val="24"/>
          <w:szCs w:val="24"/>
          <w:lang w:eastAsia="en-AU"/>
        </w:rPr>
      </w:pPr>
      <w:r w:rsidRPr="00A04C7D">
        <w:rPr>
          <w:rFonts w:eastAsia="Times New Roman"/>
          <w:color w:val="000000"/>
          <w:sz w:val="24"/>
          <w:szCs w:val="24"/>
          <w:lang w:eastAsia="en-AU"/>
        </w:rPr>
        <w:t>Data cluster and permission language</w:t>
      </w:r>
    </w:p>
    <w:p w:rsidR="00D13284" w:rsidRPr="00A04C7D" w:rsidRDefault="00D13284" w:rsidP="006A162C">
      <w:pPr>
        <w:numPr>
          <w:ilvl w:val="0"/>
          <w:numId w:val="22"/>
        </w:numPr>
        <w:spacing w:after="120"/>
        <w:rPr>
          <w:rFonts w:eastAsia="Times New Roman"/>
          <w:color w:val="000000"/>
          <w:sz w:val="24"/>
          <w:szCs w:val="24"/>
          <w:lang w:eastAsia="en-AU"/>
        </w:rPr>
      </w:pPr>
      <w:r w:rsidRPr="00A04C7D">
        <w:rPr>
          <w:rFonts w:eastAsia="Times New Roman"/>
          <w:color w:val="000000"/>
          <w:sz w:val="24"/>
          <w:szCs w:val="24"/>
          <w:lang w:eastAsia="en-AU"/>
        </w:rPr>
        <w:t>Consent/authorisation dashboards</w:t>
      </w:r>
    </w:p>
    <w:p w:rsidR="00D13284" w:rsidRPr="00A04C7D" w:rsidRDefault="00D13284" w:rsidP="006A162C">
      <w:pPr>
        <w:numPr>
          <w:ilvl w:val="0"/>
          <w:numId w:val="22"/>
        </w:numPr>
        <w:spacing w:after="120"/>
        <w:rPr>
          <w:rFonts w:eastAsia="Times New Roman"/>
          <w:color w:val="000000"/>
          <w:sz w:val="24"/>
          <w:szCs w:val="24"/>
          <w:lang w:eastAsia="en-AU"/>
        </w:rPr>
      </w:pPr>
      <w:r w:rsidRPr="00A04C7D">
        <w:rPr>
          <w:rFonts w:eastAsia="Times New Roman"/>
          <w:color w:val="000000"/>
          <w:sz w:val="24"/>
          <w:szCs w:val="24"/>
          <w:lang w:eastAsia="en-AU"/>
        </w:rPr>
        <w:t>Revocation flows</w:t>
      </w:r>
    </w:p>
    <w:p w:rsidR="00D13284" w:rsidRPr="00A04C7D" w:rsidRDefault="00D13284" w:rsidP="006A162C">
      <w:pPr>
        <w:numPr>
          <w:ilvl w:val="0"/>
          <w:numId w:val="22"/>
        </w:numPr>
        <w:spacing w:after="120"/>
        <w:rPr>
          <w:rFonts w:eastAsia="Times New Roman"/>
          <w:color w:val="000000"/>
          <w:sz w:val="24"/>
          <w:szCs w:val="24"/>
          <w:lang w:eastAsia="en-AU"/>
        </w:rPr>
      </w:pPr>
      <w:r w:rsidRPr="00A04C7D">
        <w:rPr>
          <w:rFonts w:eastAsia="Times New Roman"/>
          <w:color w:val="000000"/>
          <w:sz w:val="24"/>
          <w:szCs w:val="24"/>
          <w:lang w:eastAsia="en-AU"/>
        </w:rPr>
        <w:t>Reauthorisation flows</w:t>
      </w:r>
    </w:p>
    <w:p w:rsidR="00D13284" w:rsidRPr="00A04C7D" w:rsidRDefault="007C50F7" w:rsidP="006A162C">
      <w:pPr>
        <w:numPr>
          <w:ilvl w:val="0"/>
          <w:numId w:val="22"/>
        </w:numPr>
        <w:spacing w:after="120"/>
        <w:rPr>
          <w:rFonts w:eastAsia="Times New Roman"/>
          <w:color w:val="000000"/>
          <w:sz w:val="24"/>
          <w:szCs w:val="24"/>
          <w:lang w:eastAsia="en-AU"/>
        </w:rPr>
      </w:pPr>
      <w:r>
        <w:rPr>
          <w:rFonts w:eastAsia="Times New Roman"/>
          <w:color w:val="000000"/>
          <w:sz w:val="24"/>
          <w:szCs w:val="24"/>
          <w:lang w:eastAsia="en-AU"/>
        </w:rPr>
        <w:t>N</w:t>
      </w:r>
      <w:r w:rsidRPr="00A04C7D">
        <w:rPr>
          <w:rFonts w:eastAsia="Times New Roman"/>
          <w:color w:val="000000"/>
          <w:sz w:val="24"/>
          <w:szCs w:val="24"/>
          <w:lang w:eastAsia="en-AU"/>
        </w:rPr>
        <w:t>otification</w:t>
      </w:r>
      <w:r w:rsidR="00D13284" w:rsidRPr="00A04C7D">
        <w:rPr>
          <w:rFonts w:eastAsia="Times New Roman"/>
          <w:color w:val="000000"/>
          <w:sz w:val="24"/>
          <w:szCs w:val="24"/>
          <w:lang w:eastAsia="en-AU"/>
        </w:rPr>
        <w:t>(s)</w:t>
      </w:r>
      <w:r w:rsidR="00D13284">
        <w:rPr>
          <w:rFonts w:eastAsia="Times New Roman"/>
          <w:color w:val="000000"/>
          <w:sz w:val="24"/>
          <w:szCs w:val="24"/>
          <w:lang w:eastAsia="en-AU"/>
        </w:rPr>
        <w:t xml:space="preserve"> effectiveness</w:t>
      </w:r>
    </w:p>
    <w:p w:rsidR="00D13284" w:rsidRPr="00A04C7D"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 xml:space="preserve">The following </w:t>
      </w:r>
      <w:r w:rsidR="003F3B13">
        <w:rPr>
          <w:rFonts w:eastAsia="Times New Roman"/>
          <w:color w:val="000000"/>
          <w:sz w:val="24"/>
          <w:szCs w:val="24"/>
          <w:lang w:eastAsia="en-AU"/>
        </w:rPr>
        <w:t>points have been included as assumptions</w:t>
      </w:r>
      <w:r w:rsidRPr="00A04C7D">
        <w:rPr>
          <w:rFonts w:eastAsia="Times New Roman"/>
          <w:color w:val="000000"/>
          <w:sz w:val="24"/>
          <w:szCs w:val="24"/>
          <w:lang w:eastAsia="en-AU"/>
        </w:rPr>
        <w:t xml:space="preserve"> for v1 CX Guidance</w:t>
      </w:r>
      <w:r w:rsidR="003F3B13">
        <w:rPr>
          <w:rFonts w:eastAsia="Times New Roman"/>
          <w:color w:val="000000"/>
          <w:sz w:val="24"/>
          <w:szCs w:val="24"/>
          <w:lang w:eastAsia="en-AU"/>
        </w:rPr>
        <w:t xml:space="preserve"> and will be finalised after further review by the ACCC in the pilot test phase</w:t>
      </w:r>
      <w:r w:rsidRPr="00A04C7D">
        <w:rPr>
          <w:rFonts w:eastAsia="Times New Roman"/>
          <w:color w:val="000000"/>
          <w:sz w:val="24"/>
          <w:szCs w:val="24"/>
          <w:lang w:eastAsia="en-AU"/>
        </w:rPr>
        <w:t>:</w:t>
      </w:r>
    </w:p>
    <w:p w:rsidR="00D13284" w:rsidRPr="00A04C7D" w:rsidRDefault="00D13284" w:rsidP="00D13284">
      <w:pPr>
        <w:rPr>
          <w:rFonts w:eastAsia="Times New Roman"/>
          <w:color w:val="000000"/>
          <w:sz w:val="24"/>
          <w:szCs w:val="24"/>
          <w:lang w:eastAsia="en-AU"/>
        </w:rPr>
      </w:pPr>
    </w:p>
    <w:p w:rsidR="00D13284" w:rsidRPr="00A04C7D" w:rsidRDefault="00D13284" w:rsidP="006A162C">
      <w:pPr>
        <w:numPr>
          <w:ilvl w:val="0"/>
          <w:numId w:val="23"/>
        </w:numPr>
        <w:spacing w:after="120"/>
        <w:rPr>
          <w:rFonts w:eastAsia="Times New Roman"/>
          <w:color w:val="000000"/>
          <w:sz w:val="24"/>
          <w:szCs w:val="24"/>
          <w:lang w:eastAsia="en-AU"/>
        </w:rPr>
      </w:pPr>
      <w:r w:rsidRPr="00A04C7D">
        <w:rPr>
          <w:rFonts w:eastAsia="Times New Roman"/>
          <w:color w:val="000000"/>
          <w:sz w:val="24"/>
          <w:szCs w:val="24"/>
          <w:lang w:eastAsia="en-AU"/>
        </w:rPr>
        <w:t>Consent to use and consent to collect will be conflated, i.e. consumers will consent to both at once and revoke both at once</w:t>
      </w:r>
    </w:p>
    <w:p w:rsidR="00D13284" w:rsidRPr="00A04C7D" w:rsidRDefault="00D13284" w:rsidP="006A162C">
      <w:pPr>
        <w:numPr>
          <w:ilvl w:val="0"/>
          <w:numId w:val="23"/>
        </w:numPr>
        <w:spacing w:after="120"/>
        <w:rPr>
          <w:rFonts w:eastAsia="Times New Roman"/>
          <w:color w:val="000000"/>
          <w:sz w:val="24"/>
          <w:szCs w:val="24"/>
          <w:lang w:eastAsia="en-AU"/>
        </w:rPr>
      </w:pPr>
      <w:r w:rsidRPr="00A04C7D">
        <w:rPr>
          <w:rFonts w:eastAsia="Times New Roman"/>
          <w:color w:val="000000"/>
          <w:sz w:val="24"/>
          <w:szCs w:val="24"/>
          <w:lang w:eastAsia="en-AU"/>
        </w:rPr>
        <w:t>Guidance will be provided assuming account level authorisation for joint account data sharing; guidance will not be provided for multi-party approval or granting account level authorisation.</w:t>
      </w:r>
    </w:p>
    <w:p w:rsidR="00D13284" w:rsidRPr="00A04C7D" w:rsidRDefault="00D13284" w:rsidP="006A162C">
      <w:pPr>
        <w:numPr>
          <w:ilvl w:val="0"/>
          <w:numId w:val="23"/>
        </w:numPr>
        <w:spacing w:after="120"/>
        <w:rPr>
          <w:rFonts w:eastAsia="Times New Roman"/>
          <w:color w:val="000000"/>
          <w:sz w:val="24"/>
          <w:szCs w:val="24"/>
          <w:lang w:eastAsia="en-AU"/>
        </w:rPr>
      </w:pPr>
      <w:r w:rsidRPr="00A04C7D">
        <w:rPr>
          <w:rFonts w:eastAsia="Times New Roman"/>
          <w:color w:val="000000"/>
          <w:sz w:val="24"/>
          <w:szCs w:val="24"/>
          <w:lang w:eastAsia="en-AU"/>
        </w:rPr>
        <w:t>Guidance will not be provided on consumer selection or deselection at the data cluster or permissions level in dashboards.</w:t>
      </w:r>
    </w:p>
    <w:p w:rsidR="00D13284" w:rsidRPr="00A04C7D"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A v2 of CX Guidance will expand on the above scope, and research currently being conducted will inform further research that in turn will inform further guidance.</w:t>
      </w:r>
    </w:p>
    <w:p w:rsidR="00D13284" w:rsidRPr="00A04C7D" w:rsidRDefault="00D13284" w:rsidP="00D13284">
      <w:pPr>
        <w:rPr>
          <w:rFonts w:eastAsia="Times New Roman"/>
          <w:color w:val="000000"/>
          <w:sz w:val="24"/>
          <w:szCs w:val="24"/>
          <w:lang w:eastAsia="en-AU"/>
        </w:rPr>
      </w:pPr>
    </w:p>
    <w:p w:rsidR="00417338" w:rsidRDefault="00417338" w:rsidP="00D13284">
      <w:pPr>
        <w:rPr>
          <w:rFonts w:eastAsia="Times New Roman"/>
          <w:b/>
          <w:bCs/>
          <w:color w:val="000000"/>
          <w:sz w:val="24"/>
          <w:szCs w:val="24"/>
          <w:lang w:eastAsia="en-AU"/>
        </w:rPr>
      </w:pPr>
    </w:p>
    <w:p w:rsidR="00417338" w:rsidRDefault="00417338">
      <w:pPr>
        <w:spacing w:after="160" w:line="259" w:lineRule="auto"/>
        <w:rPr>
          <w:rFonts w:eastAsia="Times New Roman"/>
          <w:b/>
          <w:bCs/>
          <w:color w:val="000000"/>
          <w:sz w:val="24"/>
          <w:szCs w:val="24"/>
          <w:lang w:eastAsia="en-AU"/>
        </w:rPr>
      </w:pPr>
      <w:r>
        <w:rPr>
          <w:rFonts w:eastAsia="Times New Roman"/>
          <w:b/>
          <w:bCs/>
          <w:color w:val="000000"/>
          <w:sz w:val="24"/>
          <w:szCs w:val="24"/>
          <w:lang w:eastAsia="en-AU"/>
        </w:rPr>
        <w:br w:type="page"/>
      </w:r>
    </w:p>
    <w:p w:rsidR="00D13284" w:rsidRPr="00A04C7D" w:rsidRDefault="00417338" w:rsidP="00417338">
      <w:pPr>
        <w:spacing w:after="120"/>
        <w:rPr>
          <w:rFonts w:eastAsia="Times New Roman"/>
          <w:b/>
          <w:bCs/>
          <w:color w:val="000000"/>
          <w:sz w:val="24"/>
          <w:szCs w:val="24"/>
          <w:lang w:eastAsia="en-AU"/>
        </w:rPr>
      </w:pPr>
      <w:r>
        <w:rPr>
          <w:rFonts w:eastAsia="Times New Roman"/>
          <w:b/>
          <w:bCs/>
          <w:color w:val="000000"/>
          <w:sz w:val="24"/>
          <w:szCs w:val="24"/>
          <w:lang w:eastAsia="en-AU"/>
        </w:rPr>
        <w:lastRenderedPageBreak/>
        <w:br/>
      </w:r>
      <w:r w:rsidR="003F3B13">
        <w:rPr>
          <w:rFonts w:eastAsia="Times New Roman"/>
          <w:b/>
          <w:bCs/>
          <w:color w:val="000000"/>
          <w:sz w:val="24"/>
          <w:szCs w:val="24"/>
          <w:lang w:eastAsia="en-AU"/>
        </w:rPr>
        <w:t xml:space="preserve">Phase </w:t>
      </w:r>
      <w:r w:rsidR="008D4BD1">
        <w:rPr>
          <w:rFonts w:eastAsia="Times New Roman"/>
          <w:b/>
          <w:bCs/>
          <w:color w:val="000000"/>
          <w:sz w:val="24"/>
          <w:szCs w:val="24"/>
          <w:lang w:eastAsia="en-AU"/>
        </w:rPr>
        <w:t>One</w:t>
      </w:r>
      <w:r w:rsidR="003F3B13">
        <w:rPr>
          <w:rFonts w:eastAsia="Times New Roman"/>
          <w:b/>
          <w:bCs/>
          <w:color w:val="000000"/>
          <w:sz w:val="24"/>
          <w:szCs w:val="24"/>
          <w:lang w:eastAsia="en-AU"/>
        </w:rPr>
        <w:t xml:space="preserve"> CX Outcomes</w:t>
      </w:r>
    </w:p>
    <w:p w:rsidR="00D13284"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 xml:space="preserve">Phase One, completed in </w:t>
      </w:r>
      <w:r w:rsidR="008D4BD1">
        <w:rPr>
          <w:rFonts w:eastAsia="Times New Roman"/>
          <w:color w:val="000000"/>
          <w:sz w:val="24"/>
          <w:szCs w:val="24"/>
          <w:lang w:eastAsia="en-AU"/>
        </w:rPr>
        <w:t>February</w:t>
      </w:r>
      <w:r w:rsidR="008D4BD1" w:rsidRPr="00A04C7D">
        <w:rPr>
          <w:rFonts w:eastAsia="Times New Roman"/>
          <w:color w:val="000000"/>
          <w:sz w:val="24"/>
          <w:szCs w:val="24"/>
          <w:lang w:eastAsia="en-AU"/>
        </w:rPr>
        <w:t xml:space="preserve"> </w:t>
      </w:r>
      <w:r w:rsidRPr="00A04C7D">
        <w:rPr>
          <w:rFonts w:eastAsia="Times New Roman"/>
          <w:color w:val="000000"/>
          <w:sz w:val="24"/>
          <w:szCs w:val="24"/>
          <w:lang w:eastAsia="en-AU"/>
        </w:rPr>
        <w:t>2019 and conducted in collaboration with Tobias and CHOICE, involved qualitative research, prototype testing, and surveys that engaged 81 people in total. This research reached participants Australia-wide and included people who have experienced financial distress, have accessibility needs, and have varying levels of language, financial, and digital literacy.</w:t>
      </w:r>
    </w:p>
    <w:p w:rsidR="007C50F7" w:rsidRPr="00A04C7D" w:rsidRDefault="007C50F7" w:rsidP="00D13284">
      <w:pPr>
        <w:rPr>
          <w:rFonts w:eastAsia="Times New Roman"/>
          <w:color w:val="000000"/>
          <w:sz w:val="24"/>
          <w:szCs w:val="24"/>
          <w:lang w:eastAsia="en-AU"/>
        </w:rPr>
      </w:pPr>
    </w:p>
    <w:p w:rsidR="00D13284" w:rsidRPr="00A04C7D" w:rsidRDefault="00D13284" w:rsidP="006A162C">
      <w:pPr>
        <w:spacing w:after="160" w:line="259" w:lineRule="auto"/>
        <w:rPr>
          <w:rFonts w:eastAsia="Times New Roman"/>
          <w:color w:val="000000"/>
          <w:sz w:val="24"/>
          <w:szCs w:val="24"/>
          <w:lang w:eastAsia="en-AU"/>
        </w:rPr>
      </w:pPr>
      <w:r w:rsidRPr="00A04C7D">
        <w:rPr>
          <w:rFonts w:eastAsia="Times New Roman"/>
          <w:color w:val="000000"/>
          <w:sz w:val="24"/>
          <w:szCs w:val="24"/>
          <w:lang w:eastAsia="en-AU"/>
        </w:rPr>
        <w:t xml:space="preserve">The outputs of Phase One included a </w:t>
      </w:r>
      <w:hyperlink r:id="rId19" w:history="1">
        <w:r w:rsidRPr="00A04C7D">
          <w:rPr>
            <w:rFonts w:eastAsia="Times New Roman"/>
            <w:color w:val="0000FF"/>
            <w:sz w:val="24"/>
            <w:szCs w:val="24"/>
            <w:u w:val="single"/>
            <w:lang w:eastAsia="en-AU"/>
          </w:rPr>
          <w:t>report</w:t>
        </w:r>
      </w:hyperlink>
      <w:r w:rsidRPr="00A04C7D">
        <w:rPr>
          <w:rFonts w:eastAsia="Times New Roman"/>
          <w:color w:val="000000"/>
          <w:sz w:val="24"/>
          <w:szCs w:val="24"/>
          <w:lang w:eastAsia="en-AU"/>
        </w:rPr>
        <w:t xml:space="preserve">, and prototypes focusing on a </w:t>
      </w:r>
      <w:hyperlink r:id="rId20" w:anchor="/348930756_1-0-_Credit-ABank-_Loading" w:history="1">
        <w:r w:rsidRPr="00A04C7D">
          <w:rPr>
            <w:rFonts w:eastAsia="Times New Roman"/>
            <w:color w:val="0000FF"/>
            <w:sz w:val="24"/>
            <w:szCs w:val="24"/>
            <w:u w:val="single"/>
            <w:lang w:eastAsia="en-AU"/>
          </w:rPr>
          <w:t>Credit Application use case</w:t>
        </w:r>
      </w:hyperlink>
      <w:r w:rsidRPr="00A04C7D">
        <w:rPr>
          <w:rFonts w:eastAsia="Times New Roman"/>
          <w:color w:val="000000"/>
          <w:sz w:val="24"/>
          <w:szCs w:val="24"/>
          <w:lang w:eastAsia="en-AU"/>
        </w:rPr>
        <w:t xml:space="preserve"> and an </w:t>
      </w:r>
      <w:hyperlink r:id="rId21" w:anchor="/348914615_1-0-_Accounting_Tool-_Loading" w:history="1">
        <w:r w:rsidRPr="00A04C7D">
          <w:rPr>
            <w:rFonts w:eastAsia="Times New Roman"/>
            <w:color w:val="0000FF"/>
            <w:sz w:val="24"/>
            <w:szCs w:val="24"/>
            <w:u w:val="single"/>
            <w:lang w:eastAsia="en-AU"/>
          </w:rPr>
          <w:t>Accounting Tool</w:t>
        </w:r>
      </w:hyperlink>
      <w:r w:rsidRPr="00A04C7D">
        <w:rPr>
          <w:rFonts w:eastAsia="Times New Roman"/>
          <w:color w:val="000000"/>
          <w:sz w:val="24"/>
          <w:szCs w:val="24"/>
          <w:lang w:eastAsia="en-AU"/>
        </w:rPr>
        <w:t xml:space="preserve"> to test the consent, authentication, and authorisation components of the Consent Flow.</w:t>
      </w:r>
      <w:r w:rsidR="008D4BD1">
        <w:rPr>
          <w:rFonts w:eastAsia="Times New Roman"/>
          <w:color w:val="000000"/>
          <w:sz w:val="24"/>
          <w:szCs w:val="24"/>
          <w:lang w:eastAsia="en-AU"/>
        </w:rPr>
        <w:t xml:space="preserve"> Community feedback on these outputs was collected and reviewed to shape the direction of Phase Two.</w:t>
      </w:r>
    </w:p>
    <w:p w:rsidR="008D4BD1" w:rsidRPr="006A162C" w:rsidRDefault="008D4BD1" w:rsidP="006A162C">
      <w:pPr>
        <w:spacing w:after="120"/>
        <w:rPr>
          <w:rFonts w:eastAsia="Times New Roman"/>
          <w:b/>
          <w:bCs/>
          <w:color w:val="000000"/>
          <w:sz w:val="24"/>
          <w:szCs w:val="24"/>
          <w:lang w:eastAsia="en-AU"/>
        </w:rPr>
      </w:pPr>
      <w:r>
        <w:rPr>
          <w:rFonts w:eastAsia="Times New Roman"/>
          <w:b/>
          <w:bCs/>
          <w:color w:val="000000"/>
          <w:sz w:val="24"/>
          <w:szCs w:val="24"/>
          <w:lang w:eastAsia="en-AU"/>
        </w:rPr>
        <w:t>Phase Two CX</w:t>
      </w:r>
    </w:p>
    <w:p w:rsidR="004C3F1D" w:rsidRPr="00A04C7D" w:rsidRDefault="00D13284" w:rsidP="004C3F1D">
      <w:pPr>
        <w:rPr>
          <w:rFonts w:eastAsia="Times New Roman"/>
          <w:color w:val="000000"/>
          <w:sz w:val="24"/>
          <w:szCs w:val="24"/>
          <w:lang w:eastAsia="en-AU"/>
        </w:rPr>
      </w:pPr>
      <w:r w:rsidRPr="00A04C7D">
        <w:rPr>
          <w:rFonts w:eastAsia="Times New Roman"/>
          <w:color w:val="000000"/>
          <w:sz w:val="24"/>
          <w:szCs w:val="24"/>
          <w:lang w:eastAsia="en-AU"/>
        </w:rPr>
        <w:t>Phase Two</w:t>
      </w:r>
      <w:r w:rsidR="008D4BD1">
        <w:rPr>
          <w:rFonts w:eastAsia="Times New Roman"/>
          <w:color w:val="000000"/>
          <w:sz w:val="24"/>
          <w:szCs w:val="24"/>
          <w:lang w:eastAsia="en-AU"/>
        </w:rPr>
        <w:t xml:space="preserve"> began in April </w:t>
      </w:r>
      <w:r w:rsidR="008C0057">
        <w:rPr>
          <w:rFonts w:eastAsia="Times New Roman"/>
          <w:color w:val="000000"/>
          <w:sz w:val="24"/>
          <w:szCs w:val="24"/>
          <w:lang w:eastAsia="en-AU"/>
        </w:rPr>
        <w:t>2019</w:t>
      </w:r>
      <w:r w:rsidR="008D4BD1">
        <w:rPr>
          <w:rFonts w:eastAsia="Times New Roman"/>
          <w:color w:val="000000"/>
          <w:sz w:val="24"/>
          <w:szCs w:val="24"/>
          <w:lang w:eastAsia="en-AU"/>
        </w:rPr>
        <w:t>and</w:t>
      </w:r>
      <w:r w:rsidR="004C3F1D">
        <w:rPr>
          <w:rFonts w:eastAsia="Times New Roman"/>
          <w:color w:val="000000"/>
          <w:sz w:val="24"/>
          <w:szCs w:val="24"/>
          <w:lang w:eastAsia="en-AU"/>
        </w:rPr>
        <w:t xml:space="preserve"> is due to conclude in late June</w:t>
      </w:r>
      <w:r w:rsidR="008C0057">
        <w:rPr>
          <w:rFonts w:eastAsia="Times New Roman"/>
          <w:color w:val="000000"/>
          <w:sz w:val="24"/>
          <w:szCs w:val="24"/>
          <w:lang w:eastAsia="en-AU"/>
        </w:rPr>
        <w:t xml:space="preserve"> 2019</w:t>
      </w:r>
      <w:r w:rsidR="004C3F1D">
        <w:rPr>
          <w:rFonts w:eastAsia="Times New Roman"/>
          <w:color w:val="000000"/>
          <w:sz w:val="24"/>
          <w:szCs w:val="24"/>
          <w:lang w:eastAsia="en-AU"/>
        </w:rPr>
        <w:t>. It will also reach consumers</w:t>
      </w:r>
      <w:r w:rsidR="004C3F1D" w:rsidRPr="00A04C7D">
        <w:rPr>
          <w:rFonts w:eastAsia="Times New Roman"/>
          <w:color w:val="000000"/>
          <w:sz w:val="24"/>
          <w:szCs w:val="24"/>
          <w:lang w:eastAsia="en-AU"/>
        </w:rPr>
        <w:t xml:space="preserve"> from a range of locations and </w:t>
      </w:r>
      <w:r w:rsidR="004C3F1D">
        <w:rPr>
          <w:rFonts w:eastAsia="Times New Roman"/>
          <w:color w:val="000000"/>
          <w:sz w:val="24"/>
          <w:szCs w:val="24"/>
          <w:lang w:eastAsia="en-AU"/>
        </w:rPr>
        <w:t>include those</w:t>
      </w:r>
      <w:r w:rsidR="004C3F1D" w:rsidRPr="00A04C7D">
        <w:rPr>
          <w:rFonts w:eastAsia="Times New Roman"/>
          <w:color w:val="000000"/>
          <w:sz w:val="24"/>
          <w:szCs w:val="24"/>
          <w:lang w:eastAsia="en-AU"/>
        </w:rPr>
        <w:t xml:space="preserve"> who have experienced financial distress, have accessibility needs, and have varying levels of language, financial, and digital literacy. Phase One was skewed towards vulnerable participants and had an underrepresentation of early adopters and younger people</w:t>
      </w:r>
      <w:r w:rsidR="004C3F1D">
        <w:rPr>
          <w:rFonts w:eastAsia="Times New Roman"/>
          <w:color w:val="000000"/>
          <w:sz w:val="24"/>
          <w:szCs w:val="24"/>
          <w:lang w:eastAsia="en-AU"/>
        </w:rPr>
        <w:t>.</w:t>
      </w:r>
      <w:r w:rsidR="004C3F1D" w:rsidRPr="00A04C7D">
        <w:rPr>
          <w:rFonts w:eastAsia="Times New Roman"/>
          <w:color w:val="000000"/>
          <w:sz w:val="24"/>
          <w:szCs w:val="24"/>
          <w:lang w:eastAsia="en-AU"/>
        </w:rPr>
        <w:t xml:space="preserve"> Phase Two has </w:t>
      </w:r>
      <w:r w:rsidR="004C3F1D">
        <w:rPr>
          <w:rFonts w:eastAsia="Times New Roman"/>
          <w:color w:val="000000"/>
          <w:sz w:val="24"/>
          <w:szCs w:val="24"/>
          <w:lang w:eastAsia="en-AU"/>
        </w:rPr>
        <w:t xml:space="preserve">been </w:t>
      </w:r>
      <w:r w:rsidR="004C3F1D" w:rsidRPr="00A04C7D">
        <w:rPr>
          <w:rFonts w:eastAsia="Times New Roman"/>
          <w:color w:val="000000"/>
          <w:sz w:val="24"/>
          <w:szCs w:val="24"/>
          <w:lang w:eastAsia="en-AU"/>
        </w:rPr>
        <w:t>skewed towards early adopters and younger people to address this gap.</w:t>
      </w:r>
    </w:p>
    <w:p w:rsidR="004C3F1D" w:rsidRDefault="004C3F1D" w:rsidP="004C3F1D">
      <w:pPr>
        <w:rPr>
          <w:rFonts w:eastAsia="Times New Roman"/>
          <w:color w:val="000000"/>
          <w:sz w:val="24"/>
          <w:szCs w:val="24"/>
          <w:lang w:eastAsia="en-AU"/>
        </w:rPr>
      </w:pPr>
    </w:p>
    <w:p w:rsidR="00536003"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 xml:space="preserve"> </w:t>
      </w:r>
      <w:r w:rsidR="004C3F1D">
        <w:rPr>
          <w:rFonts w:eastAsia="Times New Roman"/>
          <w:color w:val="000000"/>
          <w:sz w:val="24"/>
          <w:szCs w:val="24"/>
          <w:lang w:eastAsia="en-AU"/>
        </w:rPr>
        <w:t>A</w:t>
      </w:r>
      <w:r w:rsidRPr="00A04C7D">
        <w:rPr>
          <w:rFonts w:eastAsia="Times New Roman"/>
          <w:color w:val="000000"/>
          <w:sz w:val="24"/>
          <w:szCs w:val="24"/>
          <w:lang w:eastAsia="en-AU"/>
        </w:rPr>
        <w:t xml:space="preserve"> first round of research </w:t>
      </w:r>
      <w:r w:rsidR="004C3F1D">
        <w:rPr>
          <w:rFonts w:eastAsia="Times New Roman"/>
          <w:color w:val="000000"/>
          <w:sz w:val="24"/>
          <w:szCs w:val="24"/>
          <w:lang w:eastAsia="en-AU"/>
        </w:rPr>
        <w:t xml:space="preserve">has just </w:t>
      </w:r>
      <w:r w:rsidRPr="00A04C7D">
        <w:rPr>
          <w:rFonts w:eastAsia="Times New Roman"/>
          <w:color w:val="000000"/>
          <w:sz w:val="24"/>
          <w:szCs w:val="24"/>
          <w:lang w:eastAsia="en-AU"/>
        </w:rPr>
        <w:t>been completed</w:t>
      </w:r>
      <w:r w:rsidR="004C3F1D">
        <w:rPr>
          <w:rFonts w:eastAsia="Times New Roman"/>
          <w:color w:val="000000"/>
          <w:sz w:val="24"/>
          <w:szCs w:val="24"/>
          <w:lang w:eastAsia="en-AU"/>
        </w:rPr>
        <w:t xml:space="preserve"> and a second will commence in the first week of June. 34 participants have been engaged in Phase Two</w:t>
      </w:r>
      <w:r w:rsidR="00997DB9">
        <w:rPr>
          <w:rFonts w:eastAsia="Times New Roman"/>
          <w:color w:val="000000"/>
          <w:sz w:val="24"/>
          <w:szCs w:val="24"/>
          <w:lang w:eastAsia="en-AU"/>
        </w:rPr>
        <w:t xml:space="preserve"> so far, with another 30 recruited for round two of testing.</w:t>
      </w:r>
      <w:r w:rsidR="004C3F1D">
        <w:rPr>
          <w:rFonts w:eastAsia="Times New Roman"/>
          <w:color w:val="000000"/>
          <w:sz w:val="24"/>
          <w:szCs w:val="24"/>
          <w:lang w:eastAsia="en-AU"/>
        </w:rPr>
        <w:t xml:space="preserve"> This will bring the total number of participants from Phase One and Two to 145, with a view to increase this sample size further through surveys and prototype testing.</w:t>
      </w:r>
    </w:p>
    <w:p w:rsidR="00D13284" w:rsidRPr="00A04C7D" w:rsidRDefault="00D13284" w:rsidP="00D13284">
      <w:pPr>
        <w:rPr>
          <w:rFonts w:eastAsia="Times New Roman"/>
          <w:color w:val="000000"/>
          <w:sz w:val="24"/>
          <w:szCs w:val="24"/>
          <w:lang w:eastAsia="en-AU"/>
        </w:rPr>
      </w:pPr>
    </w:p>
    <w:p w:rsidR="00D13284" w:rsidRDefault="00D13284" w:rsidP="00D13284">
      <w:pPr>
        <w:rPr>
          <w:rFonts w:eastAsia="Times New Roman"/>
          <w:color w:val="000000"/>
          <w:sz w:val="24"/>
          <w:szCs w:val="24"/>
          <w:lang w:eastAsia="en-AU"/>
        </w:rPr>
      </w:pPr>
      <w:r w:rsidRPr="00A04C7D">
        <w:rPr>
          <w:rFonts w:eastAsia="Times New Roman"/>
          <w:color w:val="000000"/>
          <w:sz w:val="24"/>
          <w:szCs w:val="24"/>
          <w:lang w:eastAsia="en-AU"/>
        </w:rPr>
        <w:t>Phase Two is being carried out in three streams</w:t>
      </w:r>
      <w:r w:rsidR="008C0057">
        <w:rPr>
          <w:rFonts w:eastAsia="Times New Roman"/>
          <w:color w:val="000000"/>
          <w:sz w:val="24"/>
          <w:szCs w:val="24"/>
          <w:lang w:eastAsia="en-AU"/>
        </w:rPr>
        <w:t xml:space="preserve"> by the following organisations</w:t>
      </w:r>
      <w:r w:rsidRPr="00A04C7D">
        <w:rPr>
          <w:rFonts w:eastAsia="Times New Roman"/>
          <w:color w:val="000000"/>
          <w:sz w:val="24"/>
          <w:szCs w:val="24"/>
          <w:lang w:eastAsia="en-AU"/>
        </w:rPr>
        <w:t>:</w:t>
      </w:r>
    </w:p>
    <w:p w:rsidR="00D525F1" w:rsidRPr="00A04C7D" w:rsidRDefault="00D525F1" w:rsidP="00D13284">
      <w:pPr>
        <w:rPr>
          <w:rFonts w:eastAsia="Times New Roman"/>
          <w:color w:val="000000"/>
          <w:sz w:val="24"/>
          <w:szCs w:val="24"/>
        </w:rPr>
      </w:pPr>
    </w:p>
    <w:p w:rsidR="00D13284" w:rsidRPr="00A04C7D" w:rsidRDefault="00D13284" w:rsidP="006A162C">
      <w:pPr>
        <w:spacing w:after="120"/>
        <w:rPr>
          <w:rFonts w:eastAsia="Times New Roman"/>
          <w:color w:val="000000"/>
          <w:sz w:val="24"/>
          <w:szCs w:val="24"/>
          <w:lang w:eastAsia="en-AU"/>
        </w:rPr>
      </w:pPr>
      <w:r w:rsidRPr="00A04C7D">
        <w:rPr>
          <w:rFonts w:eastAsia="Times New Roman"/>
          <w:b/>
          <w:bCs/>
          <w:color w:val="000000"/>
          <w:sz w:val="24"/>
          <w:szCs w:val="24"/>
          <w:lang w:eastAsia="en-AU"/>
        </w:rPr>
        <w:t xml:space="preserve">Stream 1: GippsTech </w:t>
      </w:r>
      <w:r w:rsidRPr="00A04C7D">
        <w:rPr>
          <w:rFonts w:eastAsia="Times New Roman"/>
          <w:color w:val="000000"/>
          <w:sz w:val="24"/>
          <w:szCs w:val="24"/>
          <w:lang w:eastAsia="en-AU"/>
        </w:rPr>
        <w:br/>
      </w:r>
      <w:r w:rsidRPr="00A04C7D">
        <w:rPr>
          <w:rFonts w:eastAsia="Times New Roman"/>
          <w:i/>
          <w:iCs/>
          <w:color w:val="000000"/>
          <w:sz w:val="24"/>
          <w:szCs w:val="24"/>
          <w:lang w:eastAsia="en-AU"/>
        </w:rPr>
        <w:t>Areas of focus: Consent Flow; accessibility; cross-sector sharing, joint account considerations</w:t>
      </w:r>
      <w:r w:rsidRPr="00A04C7D">
        <w:rPr>
          <w:rFonts w:eastAsia="Times New Roman"/>
          <w:i/>
          <w:iCs/>
          <w:color w:val="000000"/>
          <w:sz w:val="24"/>
          <w:szCs w:val="24"/>
          <w:lang w:eastAsia="en-AU"/>
        </w:rPr>
        <w:br/>
      </w:r>
      <w:r w:rsidRPr="00A04C7D">
        <w:rPr>
          <w:rFonts w:eastAsia="Times New Roman"/>
          <w:color w:val="000000"/>
          <w:sz w:val="24"/>
          <w:szCs w:val="24"/>
          <w:lang w:eastAsia="en-AU"/>
        </w:rPr>
        <w:t>First round prototypes:</w:t>
      </w:r>
    </w:p>
    <w:p w:rsidR="00D13284" w:rsidRPr="00A04C7D" w:rsidRDefault="00D13284" w:rsidP="006A162C">
      <w:pPr>
        <w:numPr>
          <w:ilvl w:val="0"/>
          <w:numId w:val="20"/>
        </w:numPr>
        <w:spacing w:after="120"/>
        <w:ind w:left="714" w:hanging="357"/>
        <w:textAlignment w:val="baseline"/>
        <w:rPr>
          <w:rFonts w:eastAsia="Times New Roman"/>
          <w:color w:val="000000"/>
          <w:sz w:val="24"/>
          <w:szCs w:val="24"/>
          <w:lang w:eastAsia="en-AU"/>
        </w:rPr>
      </w:pPr>
      <w:r w:rsidRPr="00A04C7D">
        <w:rPr>
          <w:rFonts w:eastAsia="Times New Roman"/>
          <w:color w:val="000000"/>
          <w:sz w:val="24"/>
          <w:szCs w:val="24"/>
          <w:lang w:eastAsia="en-AU"/>
        </w:rPr>
        <w:t xml:space="preserve">A </w:t>
      </w:r>
      <w:hyperlink r:id="rId22" w:anchor="/screens" w:history="1">
        <w:r w:rsidRPr="00A04C7D">
          <w:rPr>
            <w:rFonts w:eastAsia="Times New Roman"/>
            <w:color w:val="0000FF"/>
            <w:sz w:val="24"/>
            <w:szCs w:val="24"/>
            <w:u w:val="single"/>
            <w:lang w:eastAsia="en-AU"/>
          </w:rPr>
          <w:t>banking consent flow</w:t>
        </w:r>
      </w:hyperlink>
      <w:r w:rsidRPr="00A04C7D">
        <w:rPr>
          <w:rFonts w:eastAsia="Times New Roman"/>
          <w:color w:val="000000"/>
          <w:sz w:val="24"/>
          <w:szCs w:val="24"/>
          <w:lang w:eastAsia="en-AU"/>
        </w:rPr>
        <w:t xml:space="preserve"> for a cross-sector data aggregation dashboard concept</w:t>
      </w:r>
    </w:p>
    <w:p w:rsidR="00D13284" w:rsidRPr="00A04C7D" w:rsidRDefault="00D13284" w:rsidP="006A162C">
      <w:pPr>
        <w:numPr>
          <w:ilvl w:val="0"/>
          <w:numId w:val="20"/>
        </w:numPr>
        <w:spacing w:after="120"/>
        <w:ind w:left="714" w:hanging="357"/>
        <w:textAlignment w:val="baseline"/>
        <w:rPr>
          <w:rFonts w:eastAsia="Times New Roman"/>
          <w:color w:val="000000"/>
          <w:sz w:val="24"/>
          <w:szCs w:val="24"/>
          <w:lang w:eastAsia="en-AU"/>
        </w:rPr>
      </w:pPr>
      <w:r w:rsidRPr="00A04C7D">
        <w:rPr>
          <w:rFonts w:eastAsia="Times New Roman"/>
          <w:color w:val="000000"/>
          <w:sz w:val="24"/>
          <w:szCs w:val="24"/>
          <w:lang w:eastAsia="en-AU"/>
        </w:rPr>
        <w:t xml:space="preserve">An </w:t>
      </w:r>
      <w:hyperlink r:id="rId23" w:anchor="/screens" w:history="1">
        <w:r w:rsidRPr="00A04C7D">
          <w:rPr>
            <w:rFonts w:eastAsia="Times New Roman"/>
            <w:color w:val="0000FF"/>
            <w:sz w:val="24"/>
            <w:szCs w:val="24"/>
            <w:u w:val="single"/>
            <w:lang w:eastAsia="en-AU"/>
          </w:rPr>
          <w:t>energy consent flow</w:t>
        </w:r>
      </w:hyperlink>
      <w:r w:rsidRPr="00A04C7D">
        <w:rPr>
          <w:rFonts w:eastAsia="Times New Roman"/>
          <w:color w:val="000000"/>
          <w:sz w:val="24"/>
          <w:szCs w:val="24"/>
          <w:lang w:eastAsia="en-AU"/>
        </w:rPr>
        <w:t xml:space="preserve"> that has analysed CDR data to propose the inclusion of energy data</w:t>
      </w:r>
      <w:hyperlink r:id="rId24" w:anchor="/screens" w:history="1">
        <w:r w:rsidRPr="00A04C7D">
          <w:rPr>
            <w:rFonts w:eastAsia="Times New Roman"/>
            <w:color w:val="0000FF"/>
            <w:sz w:val="24"/>
            <w:szCs w:val="24"/>
            <w:u w:val="single"/>
            <w:lang w:eastAsia="en-AU"/>
          </w:rPr>
          <w:t xml:space="preserve"> </w:t>
        </w:r>
      </w:hyperlink>
    </w:p>
    <w:p w:rsidR="00D13284" w:rsidRPr="00A04C7D" w:rsidRDefault="00D13284" w:rsidP="006A162C">
      <w:pPr>
        <w:numPr>
          <w:ilvl w:val="0"/>
          <w:numId w:val="20"/>
        </w:numPr>
        <w:spacing w:after="120"/>
        <w:ind w:left="714" w:hanging="357"/>
        <w:textAlignment w:val="baseline"/>
        <w:rPr>
          <w:rFonts w:eastAsia="Times New Roman"/>
          <w:color w:val="000000"/>
          <w:sz w:val="24"/>
          <w:szCs w:val="24"/>
          <w:lang w:eastAsia="en-AU"/>
        </w:rPr>
      </w:pPr>
      <w:r w:rsidRPr="00A04C7D">
        <w:rPr>
          <w:rFonts w:eastAsia="Times New Roman"/>
          <w:color w:val="000000"/>
          <w:sz w:val="24"/>
          <w:szCs w:val="24"/>
          <w:lang w:eastAsia="en-AU"/>
        </w:rPr>
        <w:t xml:space="preserve">A </w:t>
      </w:r>
      <w:hyperlink r:id="rId25" w:anchor="/screens" w:history="1">
        <w:r w:rsidRPr="00A04C7D">
          <w:rPr>
            <w:rFonts w:eastAsia="Times New Roman"/>
            <w:color w:val="0000FF"/>
            <w:sz w:val="24"/>
            <w:szCs w:val="24"/>
            <w:u w:val="single"/>
            <w:lang w:eastAsia="en-AU"/>
          </w:rPr>
          <w:t>consent flow with a joint account notification</w:t>
        </w:r>
      </w:hyperlink>
      <w:r w:rsidRPr="00A04C7D">
        <w:rPr>
          <w:rFonts w:eastAsia="Times New Roman"/>
          <w:color w:val="000000"/>
          <w:sz w:val="24"/>
          <w:szCs w:val="24"/>
          <w:lang w:eastAsia="en-AU"/>
        </w:rPr>
        <w:t xml:space="preserve"> to gauge the consumer response to the concept of joint account data sharing</w:t>
      </w:r>
    </w:p>
    <w:p w:rsidR="00D13284" w:rsidRPr="00A04C7D" w:rsidRDefault="00D13284" w:rsidP="00D13284">
      <w:pPr>
        <w:rPr>
          <w:rFonts w:eastAsia="Times New Roman"/>
          <w:color w:val="000000"/>
          <w:sz w:val="24"/>
          <w:szCs w:val="24"/>
          <w:lang w:eastAsia="en-AU"/>
        </w:rPr>
      </w:pPr>
      <w:r w:rsidRPr="00A04C7D">
        <w:rPr>
          <w:rFonts w:eastAsia="Times New Roman"/>
          <w:b/>
          <w:bCs/>
          <w:color w:val="000000"/>
          <w:sz w:val="24"/>
          <w:szCs w:val="24"/>
          <w:lang w:eastAsia="en-AU"/>
        </w:rPr>
        <w:t>Stream 2: Greater Than X and ThoughtWorks</w:t>
      </w:r>
      <w:r w:rsidRPr="00A04C7D">
        <w:rPr>
          <w:rFonts w:eastAsia="Times New Roman"/>
          <w:color w:val="000000"/>
          <w:sz w:val="24"/>
          <w:szCs w:val="24"/>
          <w:lang w:eastAsia="en-AU"/>
        </w:rPr>
        <w:br/>
      </w:r>
      <w:r w:rsidRPr="00A04C7D">
        <w:rPr>
          <w:rFonts w:eastAsia="Times New Roman"/>
          <w:i/>
          <w:iCs/>
          <w:color w:val="000000"/>
          <w:sz w:val="24"/>
          <w:szCs w:val="24"/>
          <w:lang w:eastAsia="en-AU"/>
        </w:rPr>
        <w:t>Areas of focus: Consent and authorisation dashboards; revocation flow</w:t>
      </w:r>
      <w:r w:rsidRPr="00A04C7D">
        <w:rPr>
          <w:rFonts w:eastAsia="Times New Roman"/>
          <w:i/>
          <w:iCs/>
          <w:color w:val="000000"/>
          <w:sz w:val="24"/>
          <w:szCs w:val="24"/>
          <w:lang w:eastAsia="en-AU"/>
        </w:rPr>
        <w:br/>
      </w:r>
      <w:r w:rsidRPr="00A04C7D">
        <w:rPr>
          <w:rFonts w:eastAsia="Times New Roman"/>
          <w:color w:val="000000"/>
          <w:sz w:val="24"/>
          <w:szCs w:val="24"/>
          <w:lang w:eastAsia="en-AU"/>
        </w:rPr>
        <w:t>First round prototypes:</w:t>
      </w:r>
    </w:p>
    <w:p w:rsidR="00D13284" w:rsidRPr="00A04C7D" w:rsidRDefault="00417338" w:rsidP="006A162C">
      <w:pPr>
        <w:numPr>
          <w:ilvl w:val="0"/>
          <w:numId w:val="21"/>
        </w:numPr>
        <w:spacing w:after="120"/>
        <w:ind w:left="714" w:hanging="357"/>
        <w:contextualSpacing/>
        <w:rPr>
          <w:rFonts w:eastAsia="Times New Roman"/>
          <w:color w:val="000000"/>
          <w:sz w:val="24"/>
          <w:szCs w:val="24"/>
        </w:rPr>
      </w:pPr>
      <w:hyperlink r:id="rId26" w:history="1">
        <w:r w:rsidR="00D13284" w:rsidRPr="00A04C7D">
          <w:rPr>
            <w:rFonts w:eastAsia="Times New Roman"/>
            <w:color w:val="0000FF"/>
            <w:sz w:val="24"/>
            <w:szCs w:val="24"/>
            <w:u w:val="single"/>
          </w:rPr>
          <w:t>Revocation via data recipient</w:t>
        </w:r>
      </w:hyperlink>
    </w:p>
    <w:p w:rsidR="00D13284" w:rsidRPr="00A04C7D" w:rsidRDefault="00417338" w:rsidP="006A162C">
      <w:pPr>
        <w:numPr>
          <w:ilvl w:val="0"/>
          <w:numId w:val="21"/>
        </w:numPr>
        <w:spacing w:after="120"/>
        <w:ind w:left="714" w:hanging="357"/>
        <w:contextualSpacing/>
        <w:rPr>
          <w:rFonts w:ascii="Times New Roman" w:hAnsi="Times New Roman" w:cs="Times New Roman"/>
          <w:sz w:val="24"/>
          <w:szCs w:val="24"/>
        </w:rPr>
      </w:pPr>
      <w:hyperlink r:id="rId27" w:history="1">
        <w:r w:rsidR="00D13284" w:rsidRPr="00A04C7D">
          <w:rPr>
            <w:rFonts w:eastAsia="Times New Roman"/>
            <w:color w:val="0000FF"/>
            <w:sz w:val="24"/>
            <w:szCs w:val="24"/>
            <w:u w:val="single"/>
            <w:lang w:eastAsia="en-AU"/>
          </w:rPr>
          <w:t>Revocation via data holder</w:t>
        </w:r>
      </w:hyperlink>
    </w:p>
    <w:p w:rsidR="00D13284" w:rsidRPr="00A04C7D" w:rsidRDefault="00D13284" w:rsidP="00D13284">
      <w:pPr>
        <w:rPr>
          <w:rFonts w:ascii="Times New Roman" w:hAnsi="Times New Roman" w:cs="Times New Roman"/>
          <w:sz w:val="24"/>
          <w:szCs w:val="24"/>
        </w:rPr>
      </w:pPr>
    </w:p>
    <w:p w:rsidR="00D13284" w:rsidRPr="00A04C7D" w:rsidRDefault="00D13284" w:rsidP="00D13284">
      <w:pPr>
        <w:rPr>
          <w:rFonts w:eastAsia="Times New Roman"/>
          <w:color w:val="000000"/>
          <w:sz w:val="24"/>
          <w:szCs w:val="24"/>
          <w:lang w:eastAsia="en-AU"/>
        </w:rPr>
      </w:pPr>
      <w:r w:rsidRPr="00A04C7D">
        <w:rPr>
          <w:rFonts w:eastAsia="Times New Roman"/>
          <w:b/>
          <w:bCs/>
          <w:color w:val="000000"/>
          <w:sz w:val="24"/>
          <w:szCs w:val="24"/>
          <w:lang w:eastAsia="en-AU"/>
        </w:rPr>
        <w:t>Stream 3: Tobias</w:t>
      </w:r>
      <w:r w:rsidRPr="00A04C7D">
        <w:rPr>
          <w:rFonts w:eastAsia="Times New Roman"/>
          <w:color w:val="000000"/>
          <w:sz w:val="24"/>
          <w:szCs w:val="24"/>
          <w:lang w:eastAsia="en-AU"/>
        </w:rPr>
        <w:br/>
      </w:r>
      <w:r w:rsidRPr="00A04C7D">
        <w:rPr>
          <w:rFonts w:eastAsia="Times New Roman"/>
          <w:i/>
          <w:iCs/>
          <w:color w:val="000000"/>
          <w:sz w:val="24"/>
          <w:szCs w:val="24"/>
          <w:lang w:eastAsia="en-AU"/>
        </w:rPr>
        <w:t>Areas of focus: Authentication flows; 90-day notification; reauthorisation</w:t>
      </w:r>
      <w:r w:rsidRPr="00A04C7D">
        <w:rPr>
          <w:rFonts w:eastAsia="Times New Roman"/>
          <w:i/>
          <w:iCs/>
          <w:color w:val="000000"/>
          <w:sz w:val="24"/>
          <w:szCs w:val="24"/>
          <w:lang w:eastAsia="en-AU"/>
        </w:rPr>
        <w:br/>
      </w:r>
      <w:r w:rsidRPr="00A04C7D">
        <w:rPr>
          <w:rFonts w:eastAsia="Times New Roman"/>
          <w:color w:val="000000"/>
          <w:sz w:val="24"/>
          <w:szCs w:val="24"/>
          <w:lang w:eastAsia="en-AU"/>
        </w:rPr>
        <w:t>First round prototypes:</w:t>
      </w:r>
    </w:p>
    <w:p w:rsidR="00D13284" w:rsidRPr="009B3000" w:rsidRDefault="00417338" w:rsidP="00D13284">
      <w:pPr>
        <w:rPr>
          <w:rFonts w:eastAsia="Times New Roman"/>
          <w:color w:val="000000"/>
          <w:sz w:val="24"/>
          <w:szCs w:val="24"/>
          <w:lang w:eastAsia="en-AU"/>
        </w:rPr>
      </w:pPr>
      <w:hyperlink r:id="rId28" w:history="1">
        <w:r w:rsidR="00D13284" w:rsidRPr="00A04C7D">
          <w:rPr>
            <w:rFonts w:eastAsia="Times New Roman"/>
            <w:color w:val="0000FF"/>
            <w:sz w:val="24"/>
            <w:szCs w:val="24"/>
            <w:u w:val="single"/>
            <w:lang w:eastAsia="en-AU"/>
          </w:rPr>
          <w:t>All-in-one prototype</w:t>
        </w:r>
      </w:hyperlink>
      <w:r w:rsidR="00D13284" w:rsidRPr="00A04C7D">
        <w:rPr>
          <w:rFonts w:eastAsia="Times New Roman"/>
          <w:color w:val="000000"/>
          <w:sz w:val="24"/>
          <w:szCs w:val="24"/>
          <w:lang w:eastAsia="en-AU"/>
        </w:rPr>
        <w:t xml:space="preserve"> including Decoupled, Redirect with Known Channel, 90-day notification, and reauthorisation flows</w:t>
      </w:r>
    </w:p>
    <w:p w:rsidR="00D13284" w:rsidRPr="00A04C7D" w:rsidRDefault="00D13284" w:rsidP="00D13284">
      <w:pPr>
        <w:rPr>
          <w:rFonts w:ascii="Times New Roman" w:eastAsia="Times New Roman" w:hAnsi="Times New Roman" w:cs="Times New Roman"/>
          <w:sz w:val="24"/>
          <w:szCs w:val="24"/>
        </w:rPr>
      </w:pPr>
    </w:p>
    <w:p w:rsidR="00D13284" w:rsidRPr="00A04C7D" w:rsidRDefault="00D13284" w:rsidP="00D13284">
      <w:pPr>
        <w:rPr>
          <w:rFonts w:eastAsia="Times New Roman"/>
          <w:color w:val="000000"/>
          <w:sz w:val="24"/>
          <w:szCs w:val="24"/>
          <w:lang w:eastAsia="en-AU"/>
        </w:rPr>
      </w:pPr>
      <w:r w:rsidRPr="00A04C7D">
        <w:rPr>
          <w:rFonts w:eastAsia="Times New Roman"/>
          <w:color w:val="000000"/>
          <w:sz w:val="24"/>
          <w:szCs w:val="24"/>
          <w:lang w:eastAsia="en-AU"/>
        </w:rPr>
        <w:lastRenderedPageBreak/>
        <w:t xml:space="preserve">The CX Workstream also </w:t>
      </w:r>
      <w:r w:rsidR="00BC241A" w:rsidRPr="00A04C7D">
        <w:rPr>
          <w:rFonts w:eastAsia="Times New Roman"/>
          <w:color w:val="000000"/>
          <w:sz w:val="24"/>
          <w:szCs w:val="24"/>
          <w:lang w:eastAsia="en-AU"/>
        </w:rPr>
        <w:t>leverag</w:t>
      </w:r>
      <w:r w:rsidR="0097305E">
        <w:rPr>
          <w:rFonts w:eastAsia="Times New Roman"/>
          <w:color w:val="000000"/>
          <w:sz w:val="24"/>
          <w:szCs w:val="24"/>
          <w:lang w:eastAsia="en-AU"/>
        </w:rPr>
        <w:t>e</w:t>
      </w:r>
      <w:r w:rsidR="00BC241A">
        <w:rPr>
          <w:rFonts w:eastAsia="Times New Roman"/>
          <w:color w:val="000000"/>
          <w:sz w:val="24"/>
          <w:szCs w:val="24"/>
          <w:lang w:eastAsia="en-AU"/>
        </w:rPr>
        <w:t>s</w:t>
      </w:r>
      <w:r w:rsidR="00BC241A" w:rsidRPr="00A04C7D">
        <w:rPr>
          <w:rFonts w:eastAsia="Times New Roman"/>
          <w:color w:val="000000"/>
          <w:sz w:val="24"/>
          <w:szCs w:val="24"/>
          <w:lang w:eastAsia="en-AU"/>
        </w:rPr>
        <w:t xml:space="preserve"> </w:t>
      </w:r>
      <w:r w:rsidRPr="00A04C7D">
        <w:rPr>
          <w:rFonts w:eastAsia="Times New Roman"/>
          <w:color w:val="000000"/>
          <w:sz w:val="24"/>
          <w:szCs w:val="24"/>
          <w:lang w:eastAsia="en-AU"/>
        </w:rPr>
        <w:t>Greater Than X’s expertise in consent, trust, and privacy with an additional and distinct piece of work reviewing the outputs of Phase One to provide an augmented Consent Flow for the CX Workstream and for use in Phase Two research.</w:t>
      </w:r>
    </w:p>
    <w:p w:rsidR="00D13284" w:rsidRDefault="00DE22AA" w:rsidP="00D13284">
      <w:pPr>
        <w:rPr>
          <w:rFonts w:eastAsia="Times New Roman"/>
          <w:color w:val="000000"/>
          <w:sz w:val="24"/>
          <w:szCs w:val="24"/>
          <w:lang w:eastAsia="en-AU"/>
        </w:rPr>
      </w:pPr>
      <w:r>
        <w:rPr>
          <w:rFonts w:eastAsia="Times New Roman"/>
          <w:color w:val="000000"/>
          <w:sz w:val="24"/>
          <w:szCs w:val="24"/>
          <w:lang w:eastAsia="en-AU"/>
        </w:rPr>
        <w:t xml:space="preserve"> </w:t>
      </w:r>
    </w:p>
    <w:p w:rsidR="00957323" w:rsidRDefault="00957323" w:rsidP="00D13284">
      <w:pPr>
        <w:rPr>
          <w:rFonts w:eastAsia="Times New Roman"/>
          <w:color w:val="000000"/>
          <w:sz w:val="24"/>
          <w:szCs w:val="24"/>
          <w:lang w:eastAsia="en-AU"/>
        </w:rPr>
      </w:pPr>
      <w:r>
        <w:rPr>
          <w:rFonts w:eastAsia="Times New Roman"/>
          <w:color w:val="000000"/>
          <w:sz w:val="24"/>
          <w:szCs w:val="24"/>
          <w:lang w:eastAsia="en-AU"/>
        </w:rPr>
        <w:t xml:space="preserve">Highlights of the Phase </w:t>
      </w:r>
      <w:r w:rsidR="00BC241A">
        <w:rPr>
          <w:rFonts w:eastAsia="Times New Roman"/>
          <w:color w:val="000000"/>
          <w:sz w:val="24"/>
          <w:szCs w:val="24"/>
          <w:lang w:eastAsia="en-AU"/>
        </w:rPr>
        <w:t xml:space="preserve">Two </w:t>
      </w:r>
      <w:r>
        <w:rPr>
          <w:rFonts w:eastAsia="Times New Roman"/>
          <w:color w:val="000000"/>
          <w:sz w:val="24"/>
          <w:szCs w:val="24"/>
          <w:lang w:eastAsia="en-AU"/>
        </w:rPr>
        <w:t xml:space="preserve">research outcomes are being posted on the CX work stream blog </w:t>
      </w:r>
      <w:r w:rsidR="004C6976">
        <w:rPr>
          <w:rFonts w:eastAsia="Times New Roman"/>
          <w:color w:val="000000"/>
          <w:sz w:val="24"/>
          <w:szCs w:val="24"/>
          <w:lang w:eastAsia="en-AU"/>
        </w:rPr>
        <w:t xml:space="preserve">regularly </w:t>
      </w:r>
      <w:r>
        <w:rPr>
          <w:rFonts w:eastAsia="Times New Roman"/>
          <w:color w:val="000000"/>
          <w:sz w:val="24"/>
          <w:szCs w:val="24"/>
          <w:lang w:eastAsia="en-AU"/>
        </w:rPr>
        <w:t>through</w:t>
      </w:r>
      <w:r w:rsidR="004C6976">
        <w:rPr>
          <w:rFonts w:eastAsia="Times New Roman"/>
          <w:color w:val="000000"/>
          <w:sz w:val="24"/>
          <w:szCs w:val="24"/>
          <w:lang w:eastAsia="en-AU"/>
        </w:rPr>
        <w:t>out</w:t>
      </w:r>
      <w:r>
        <w:rPr>
          <w:rFonts w:eastAsia="Times New Roman"/>
          <w:color w:val="000000"/>
          <w:sz w:val="24"/>
          <w:szCs w:val="24"/>
          <w:lang w:eastAsia="en-AU"/>
        </w:rPr>
        <w:t xml:space="preserve"> this phase. Further workshops are also scheduled with community participants throughout Phase </w:t>
      </w:r>
      <w:r w:rsidR="00BC241A">
        <w:rPr>
          <w:rFonts w:eastAsia="Times New Roman"/>
          <w:color w:val="000000"/>
          <w:sz w:val="24"/>
          <w:szCs w:val="24"/>
          <w:lang w:eastAsia="en-AU"/>
        </w:rPr>
        <w:t xml:space="preserve">Two </w:t>
      </w:r>
      <w:r>
        <w:rPr>
          <w:rFonts w:eastAsia="Times New Roman"/>
          <w:color w:val="000000"/>
          <w:sz w:val="24"/>
          <w:szCs w:val="24"/>
          <w:lang w:eastAsia="en-AU"/>
        </w:rPr>
        <w:t>to provide broad input into the design of on-going testing.</w:t>
      </w:r>
    </w:p>
    <w:p w:rsidR="00957323" w:rsidRDefault="00957323" w:rsidP="00D13284">
      <w:pPr>
        <w:rPr>
          <w:rFonts w:eastAsia="Times New Roman"/>
          <w:color w:val="000000"/>
          <w:sz w:val="24"/>
          <w:szCs w:val="24"/>
          <w:lang w:eastAsia="en-AU"/>
        </w:rPr>
      </w:pPr>
    </w:p>
    <w:p w:rsidR="004C6976" w:rsidRDefault="00957323" w:rsidP="00D13284">
      <w:pPr>
        <w:rPr>
          <w:rFonts w:eastAsia="Times New Roman"/>
          <w:color w:val="000000"/>
          <w:sz w:val="24"/>
          <w:szCs w:val="24"/>
          <w:lang w:eastAsia="en-AU"/>
        </w:rPr>
      </w:pPr>
      <w:r>
        <w:rPr>
          <w:rFonts w:eastAsia="Times New Roman"/>
          <w:color w:val="000000"/>
          <w:sz w:val="24"/>
          <w:szCs w:val="24"/>
          <w:lang w:eastAsia="en-AU"/>
        </w:rPr>
        <w:t>The detailed updates can be found at</w:t>
      </w:r>
      <w:r w:rsidR="00020309">
        <w:rPr>
          <w:rFonts w:eastAsia="Times New Roman"/>
          <w:color w:val="000000"/>
          <w:sz w:val="24"/>
          <w:szCs w:val="24"/>
          <w:lang w:eastAsia="en-AU"/>
        </w:rPr>
        <w:t xml:space="preserve"> </w:t>
      </w:r>
      <w:hyperlink r:id="rId29" w:history="1">
        <w:r w:rsidR="004C6976" w:rsidRPr="00020309">
          <w:rPr>
            <w:rStyle w:val="Hyperlink"/>
            <w:rFonts w:eastAsia="Times New Roman"/>
            <w:sz w:val="24"/>
            <w:szCs w:val="24"/>
            <w:lang w:eastAsia="en-AU"/>
          </w:rPr>
          <w:t>https://consumerdatastandards.org.au/category/cx/</w:t>
        </w:r>
      </w:hyperlink>
    </w:p>
    <w:p w:rsidR="00957323" w:rsidRPr="00A04C7D" w:rsidRDefault="00957323" w:rsidP="00D13284">
      <w:pPr>
        <w:rPr>
          <w:rFonts w:eastAsia="Times New Roman"/>
          <w:color w:val="000000"/>
          <w:sz w:val="24"/>
          <w:szCs w:val="24"/>
          <w:lang w:eastAsia="en-AU"/>
        </w:rPr>
      </w:pPr>
    </w:p>
    <w:p w:rsidR="00D13284" w:rsidRDefault="00807B3D" w:rsidP="009B3000">
      <w:pPr>
        <w:rPr>
          <w:rFonts w:eastAsia="Times New Roman"/>
          <w:sz w:val="24"/>
          <w:szCs w:val="24"/>
          <w:lang w:eastAsia="en-AU"/>
        </w:rPr>
      </w:pPr>
      <w:r>
        <w:rPr>
          <w:rFonts w:eastAsia="Times New Roman"/>
          <w:sz w:val="24"/>
          <w:szCs w:val="24"/>
          <w:lang w:eastAsia="en-AU"/>
        </w:rPr>
        <w:t xml:space="preserve">Additional </w:t>
      </w:r>
      <w:r w:rsidRPr="009B3000">
        <w:rPr>
          <w:sz w:val="24"/>
        </w:rPr>
        <w:t xml:space="preserve">insights and recommendations </w:t>
      </w:r>
      <w:r>
        <w:rPr>
          <w:rFonts w:eastAsia="Times New Roman"/>
          <w:sz w:val="24"/>
          <w:szCs w:val="24"/>
          <w:lang w:eastAsia="en-AU"/>
        </w:rPr>
        <w:t>are expected to be identified throughout</w:t>
      </w:r>
      <w:r w:rsidRPr="009B3000">
        <w:rPr>
          <w:sz w:val="24"/>
        </w:rPr>
        <w:t xml:space="preserve"> </w:t>
      </w:r>
      <w:r>
        <w:rPr>
          <w:rFonts w:eastAsia="Times New Roman"/>
          <w:sz w:val="24"/>
          <w:szCs w:val="24"/>
          <w:lang w:eastAsia="en-AU"/>
        </w:rPr>
        <w:t xml:space="preserve">Phase </w:t>
      </w:r>
      <w:r w:rsidR="00BC241A">
        <w:rPr>
          <w:rFonts w:eastAsia="Times New Roman"/>
          <w:sz w:val="24"/>
          <w:szCs w:val="24"/>
          <w:lang w:eastAsia="en-AU"/>
        </w:rPr>
        <w:t xml:space="preserve">Two </w:t>
      </w:r>
      <w:r>
        <w:rPr>
          <w:rFonts w:eastAsia="Times New Roman"/>
          <w:sz w:val="24"/>
          <w:szCs w:val="24"/>
          <w:lang w:eastAsia="en-AU"/>
        </w:rPr>
        <w:t>testing which will be assessed</w:t>
      </w:r>
      <w:r w:rsidRPr="009B3000">
        <w:rPr>
          <w:sz w:val="24"/>
        </w:rPr>
        <w:t xml:space="preserve"> in </w:t>
      </w:r>
      <w:r>
        <w:rPr>
          <w:rFonts w:eastAsia="Times New Roman"/>
          <w:sz w:val="24"/>
          <w:szCs w:val="24"/>
          <w:lang w:eastAsia="en-AU"/>
        </w:rPr>
        <w:t>conjunction</w:t>
      </w:r>
      <w:r w:rsidRPr="009B3000">
        <w:rPr>
          <w:sz w:val="24"/>
        </w:rPr>
        <w:t xml:space="preserve"> with </w:t>
      </w:r>
      <w:r>
        <w:rPr>
          <w:rFonts w:eastAsia="Times New Roman"/>
          <w:sz w:val="24"/>
          <w:szCs w:val="24"/>
          <w:lang w:eastAsia="en-AU"/>
        </w:rPr>
        <w:t xml:space="preserve">the relevant work streams and ACCC to assess </w:t>
      </w:r>
      <w:r w:rsidRPr="009B3000">
        <w:rPr>
          <w:sz w:val="24"/>
        </w:rPr>
        <w:t xml:space="preserve">the </w:t>
      </w:r>
      <w:r>
        <w:rPr>
          <w:rFonts w:eastAsia="Times New Roman"/>
          <w:sz w:val="24"/>
          <w:szCs w:val="24"/>
          <w:lang w:eastAsia="en-AU"/>
        </w:rPr>
        <w:t>extent</w:t>
      </w:r>
      <w:r w:rsidRPr="009B3000">
        <w:rPr>
          <w:sz w:val="24"/>
        </w:rPr>
        <w:t xml:space="preserve"> that </w:t>
      </w:r>
      <w:r>
        <w:rPr>
          <w:rFonts w:eastAsia="Times New Roman"/>
          <w:sz w:val="24"/>
          <w:szCs w:val="24"/>
          <w:lang w:eastAsia="en-AU"/>
        </w:rPr>
        <w:t>adjustments</w:t>
      </w:r>
      <w:r w:rsidRPr="009B3000">
        <w:rPr>
          <w:sz w:val="24"/>
        </w:rPr>
        <w:t xml:space="preserve"> should </w:t>
      </w:r>
      <w:r>
        <w:rPr>
          <w:rFonts w:eastAsia="Times New Roman"/>
          <w:sz w:val="24"/>
          <w:szCs w:val="24"/>
          <w:lang w:eastAsia="en-AU"/>
        </w:rPr>
        <w:t xml:space="preserve">be made to the Rules and/or </w:t>
      </w:r>
      <w:r w:rsidRPr="009B3000">
        <w:rPr>
          <w:sz w:val="24"/>
        </w:rPr>
        <w:t>the standards</w:t>
      </w:r>
      <w:r>
        <w:rPr>
          <w:rFonts w:eastAsia="Times New Roman"/>
          <w:sz w:val="24"/>
          <w:szCs w:val="24"/>
          <w:lang w:eastAsia="en-AU"/>
        </w:rPr>
        <w:t>.</w:t>
      </w:r>
    </w:p>
    <w:p w:rsidR="00020309" w:rsidRPr="009B3000" w:rsidRDefault="00020309" w:rsidP="009B3000">
      <w:pPr>
        <w:rPr>
          <w:sz w:val="24"/>
        </w:rPr>
      </w:pPr>
    </w:p>
    <w:p w:rsidR="00D13284" w:rsidRPr="00A04C7D" w:rsidRDefault="00D13284" w:rsidP="00D13284">
      <w:pPr>
        <w:rPr>
          <w:rFonts w:eastAsia="Times New Roman"/>
          <w:sz w:val="24"/>
          <w:szCs w:val="24"/>
          <w:lang w:eastAsia="en-AU"/>
        </w:rPr>
      </w:pPr>
      <w:r w:rsidRPr="00A04C7D">
        <w:rPr>
          <w:rFonts w:eastAsia="Times New Roman"/>
          <w:sz w:val="24"/>
          <w:szCs w:val="24"/>
          <w:lang w:eastAsia="en-AU"/>
        </w:rPr>
        <w:t xml:space="preserve">The CX </w:t>
      </w:r>
      <w:r w:rsidR="00BC241A">
        <w:rPr>
          <w:rFonts w:eastAsia="Times New Roman"/>
          <w:sz w:val="24"/>
          <w:szCs w:val="24"/>
          <w:lang w:eastAsia="en-AU"/>
        </w:rPr>
        <w:t>w</w:t>
      </w:r>
      <w:r w:rsidR="00BC241A" w:rsidRPr="00A04C7D">
        <w:rPr>
          <w:rFonts w:eastAsia="Times New Roman"/>
          <w:sz w:val="24"/>
          <w:szCs w:val="24"/>
          <w:lang w:eastAsia="en-AU"/>
        </w:rPr>
        <w:t xml:space="preserve">orkstream </w:t>
      </w:r>
      <w:r w:rsidR="00807B3D">
        <w:rPr>
          <w:rFonts w:eastAsia="Times New Roman"/>
          <w:sz w:val="24"/>
          <w:szCs w:val="24"/>
          <w:lang w:eastAsia="en-AU"/>
        </w:rPr>
        <w:t>has scheduled</w:t>
      </w:r>
      <w:r w:rsidRPr="00A04C7D">
        <w:rPr>
          <w:rFonts w:eastAsia="Times New Roman"/>
          <w:sz w:val="24"/>
          <w:szCs w:val="24"/>
          <w:lang w:eastAsia="en-AU"/>
        </w:rPr>
        <w:t xml:space="preserve"> </w:t>
      </w:r>
      <w:r w:rsidR="00807B3D">
        <w:rPr>
          <w:rFonts w:eastAsia="Times New Roman"/>
          <w:sz w:val="24"/>
          <w:szCs w:val="24"/>
          <w:lang w:eastAsia="en-AU"/>
        </w:rPr>
        <w:t xml:space="preserve">the </w:t>
      </w:r>
      <w:r w:rsidR="00807B3D" w:rsidRPr="009B3000">
        <w:rPr>
          <w:sz w:val="24"/>
        </w:rPr>
        <w:t>next</w:t>
      </w:r>
      <w:r w:rsidR="00807B3D">
        <w:rPr>
          <w:rFonts w:eastAsia="Times New Roman"/>
          <w:sz w:val="24"/>
          <w:szCs w:val="24"/>
          <w:lang w:eastAsia="en-AU"/>
        </w:rPr>
        <w:t xml:space="preserve"> </w:t>
      </w:r>
      <w:r w:rsidRPr="00A04C7D">
        <w:rPr>
          <w:rFonts w:eastAsia="Times New Roman"/>
          <w:sz w:val="24"/>
          <w:szCs w:val="24"/>
          <w:lang w:eastAsia="en-AU"/>
        </w:rPr>
        <w:t xml:space="preserve">workshop </w:t>
      </w:r>
      <w:r w:rsidR="00807B3D">
        <w:rPr>
          <w:rFonts w:eastAsia="Times New Roman"/>
          <w:sz w:val="24"/>
          <w:szCs w:val="24"/>
          <w:lang w:eastAsia="en-AU"/>
        </w:rPr>
        <w:t xml:space="preserve">for the first week of June </w:t>
      </w:r>
      <w:r w:rsidRPr="00A04C7D">
        <w:rPr>
          <w:rFonts w:eastAsia="Times New Roman"/>
          <w:sz w:val="24"/>
          <w:szCs w:val="24"/>
          <w:lang w:eastAsia="en-AU"/>
        </w:rPr>
        <w:t xml:space="preserve">with data recipients, data holders, consumer advocacy groups, and other interested parties. The focus of the workshop will be to review and refine the proposed Consent Flow, and the outputs will help frame and inform the decision to be made by the Chair of the Data Standards Body and ACCC as appropriate. The feedback collected and artefacts developed in this workshop will be used to inform the direction of the CX </w:t>
      </w:r>
      <w:r w:rsidR="00BC241A">
        <w:rPr>
          <w:rFonts w:eastAsia="Times New Roman"/>
          <w:sz w:val="24"/>
          <w:szCs w:val="24"/>
          <w:lang w:eastAsia="en-AU"/>
        </w:rPr>
        <w:t>w</w:t>
      </w:r>
      <w:r w:rsidR="00BC241A" w:rsidRPr="00A04C7D">
        <w:rPr>
          <w:rFonts w:eastAsia="Times New Roman"/>
          <w:sz w:val="24"/>
          <w:szCs w:val="24"/>
          <w:lang w:eastAsia="en-AU"/>
        </w:rPr>
        <w:t xml:space="preserve">orkstream </w:t>
      </w:r>
      <w:r w:rsidRPr="00A04C7D">
        <w:rPr>
          <w:rFonts w:eastAsia="Times New Roman"/>
          <w:sz w:val="24"/>
          <w:szCs w:val="24"/>
          <w:lang w:eastAsia="en-AU"/>
        </w:rPr>
        <w:t xml:space="preserve">and facilitate further collaboration. The invite for this workshop can be found on the </w:t>
      </w:r>
      <w:hyperlink r:id="rId30" w:history="1">
        <w:r w:rsidRPr="00A04C7D">
          <w:rPr>
            <w:rFonts w:eastAsia="Times New Roman"/>
            <w:color w:val="0000FF"/>
            <w:sz w:val="24"/>
            <w:szCs w:val="24"/>
            <w:u w:val="single"/>
            <w:lang w:eastAsia="en-AU"/>
          </w:rPr>
          <w:t>Consumer Data Standards website.</w:t>
        </w:r>
      </w:hyperlink>
    </w:p>
    <w:p w:rsidR="00D13284" w:rsidRPr="00A04C7D" w:rsidRDefault="00D13284" w:rsidP="00D13284">
      <w:pPr>
        <w:rPr>
          <w:rFonts w:eastAsia="Times New Roman"/>
          <w:sz w:val="24"/>
          <w:szCs w:val="24"/>
          <w:lang w:eastAsia="en-AU"/>
        </w:rPr>
      </w:pPr>
    </w:p>
    <w:p w:rsidR="00D13284" w:rsidRPr="00493F04" w:rsidRDefault="00D13284" w:rsidP="006A162C">
      <w:pPr>
        <w:rPr>
          <w:color w:val="000000"/>
          <w:sz w:val="24"/>
          <w:szCs w:val="24"/>
        </w:rPr>
      </w:pPr>
      <w:r w:rsidRPr="007C50F7">
        <w:rPr>
          <w:rFonts w:eastAsia="Times New Roman"/>
          <w:sz w:val="24"/>
          <w:szCs w:val="24"/>
        </w:rPr>
        <w:t>The outputs of this work will be published for community consultation and used to inform a v</w:t>
      </w:r>
      <w:r w:rsidR="00BC241A" w:rsidRPr="007C50F7">
        <w:rPr>
          <w:rFonts w:eastAsia="Times New Roman"/>
          <w:sz w:val="24"/>
          <w:szCs w:val="24"/>
        </w:rPr>
        <w:t xml:space="preserve">ersion </w:t>
      </w:r>
      <w:r w:rsidRPr="007C50F7">
        <w:rPr>
          <w:rFonts w:eastAsia="Times New Roman"/>
          <w:sz w:val="24"/>
          <w:szCs w:val="24"/>
        </w:rPr>
        <w:t>1</w:t>
      </w:r>
      <w:r w:rsidR="00BC241A" w:rsidRPr="007C50F7">
        <w:rPr>
          <w:rFonts w:eastAsia="Times New Roman"/>
          <w:sz w:val="24"/>
          <w:szCs w:val="24"/>
        </w:rPr>
        <w:t>.0</w:t>
      </w:r>
      <w:r w:rsidRPr="009739AE">
        <w:rPr>
          <w:rFonts w:eastAsia="Times New Roman"/>
          <w:sz w:val="24"/>
          <w:szCs w:val="24"/>
        </w:rPr>
        <w:t xml:space="preserve"> of the CX Guidelines.</w:t>
      </w:r>
      <w:r w:rsidR="000E2A73" w:rsidRPr="009739AE">
        <w:rPr>
          <w:rFonts w:eastAsia="Times New Roman"/>
          <w:sz w:val="24"/>
          <w:szCs w:val="24"/>
        </w:rPr>
        <w:t xml:space="preserve"> </w:t>
      </w:r>
      <w:r w:rsidR="000E2A73" w:rsidRPr="00493F04">
        <w:rPr>
          <w:color w:val="000000"/>
          <w:sz w:val="24"/>
          <w:szCs w:val="24"/>
        </w:rPr>
        <w:t>The ACCC, OAIC, and Treasury will continue to be closely involved with the CX work stream going forward.</w:t>
      </w:r>
    </w:p>
    <w:p w:rsidR="00D13284" w:rsidRPr="00FD7101" w:rsidRDefault="00D13284" w:rsidP="00417338">
      <w:pPr>
        <w:pStyle w:val="Heading3"/>
        <w:spacing w:before="240"/>
      </w:pPr>
      <w:r>
        <w:t>Engineering Work Stream</w:t>
      </w:r>
    </w:p>
    <w:p w:rsidR="00BC241A" w:rsidRDefault="0094784F" w:rsidP="00417338">
      <w:pPr>
        <w:pStyle w:val="NormalWeb"/>
        <w:spacing w:before="0" w:beforeAutospacing="0" w:after="0" w:afterAutospacing="0"/>
        <w:rPr>
          <w:rFonts w:ascii="Calibri" w:hAnsi="Calibri" w:cs="Calibri"/>
        </w:rPr>
      </w:pPr>
      <w:r w:rsidRPr="006A162C">
        <w:rPr>
          <w:rFonts w:ascii="Calibri" w:hAnsi="Calibri" w:cs="Calibri"/>
        </w:rPr>
        <w:t xml:space="preserve">The Engineering work stream provides software tools/ artefacts to assist ecosystem participants </w:t>
      </w:r>
      <w:r w:rsidR="00BC241A">
        <w:rPr>
          <w:rFonts w:ascii="Calibri" w:hAnsi="Calibri" w:cs="Calibri"/>
        </w:rPr>
        <w:t xml:space="preserve">in </w:t>
      </w:r>
      <w:r w:rsidRPr="006A162C">
        <w:rPr>
          <w:rFonts w:ascii="Calibri" w:hAnsi="Calibri" w:cs="Calibri"/>
        </w:rPr>
        <w:t>demonstrat</w:t>
      </w:r>
      <w:r w:rsidR="00BC241A">
        <w:rPr>
          <w:rFonts w:ascii="Calibri" w:hAnsi="Calibri" w:cs="Calibri"/>
        </w:rPr>
        <w:t>ing</w:t>
      </w:r>
      <w:r w:rsidRPr="006A162C">
        <w:rPr>
          <w:rFonts w:ascii="Calibri" w:hAnsi="Calibri" w:cs="Calibri"/>
        </w:rPr>
        <w:t xml:space="preserve"> conformance with the API </w:t>
      </w:r>
      <w:r w:rsidR="00BC241A">
        <w:rPr>
          <w:rFonts w:ascii="Calibri" w:hAnsi="Calibri" w:cs="Calibri"/>
        </w:rPr>
        <w:t>S</w:t>
      </w:r>
      <w:r w:rsidRPr="006A162C">
        <w:rPr>
          <w:rFonts w:ascii="Calibri" w:hAnsi="Calibri" w:cs="Calibri"/>
        </w:rPr>
        <w:t xml:space="preserve">tandards, initially with </w:t>
      </w:r>
      <w:r w:rsidR="00BC241A">
        <w:rPr>
          <w:rFonts w:ascii="Calibri" w:hAnsi="Calibri" w:cs="Calibri"/>
        </w:rPr>
        <w:t xml:space="preserve">a </w:t>
      </w:r>
      <w:r w:rsidRPr="006A162C">
        <w:rPr>
          <w:rFonts w:ascii="Calibri" w:hAnsi="Calibri" w:cs="Calibri"/>
        </w:rPr>
        <w:t xml:space="preserve">Product API focus. The description of these artefacts is necessarily technical in nature with the source publicly </w:t>
      </w:r>
      <w:r w:rsidR="00BC241A">
        <w:rPr>
          <w:rFonts w:ascii="Calibri" w:hAnsi="Calibri" w:cs="Calibri"/>
        </w:rPr>
        <w:t>available</w:t>
      </w:r>
      <w:r w:rsidRPr="006A162C">
        <w:rPr>
          <w:rFonts w:ascii="Calibri" w:hAnsi="Calibri" w:cs="Calibri"/>
        </w:rPr>
        <w:t xml:space="preserve"> on</w:t>
      </w:r>
      <w:r w:rsidR="00BC241A">
        <w:rPr>
          <w:rFonts w:ascii="Calibri" w:hAnsi="Calibri" w:cs="Calibri"/>
        </w:rPr>
        <w:t>:</w:t>
      </w:r>
    </w:p>
    <w:p w:rsidR="0094784F" w:rsidRPr="006A162C" w:rsidRDefault="0094784F" w:rsidP="0094784F">
      <w:pPr>
        <w:pStyle w:val="NormalWeb"/>
        <w:rPr>
          <w:rFonts w:asciiTheme="minorHAnsi" w:hAnsiTheme="minorHAnsi"/>
        </w:rPr>
      </w:pPr>
      <w:r w:rsidRPr="006A162C">
        <w:rPr>
          <w:rFonts w:ascii="Calibri" w:hAnsi="Calibri" w:cs="Calibri"/>
        </w:rPr>
        <w:t xml:space="preserve"> Github: </w:t>
      </w:r>
      <w:hyperlink r:id="rId31" w:history="1">
        <w:r w:rsidRPr="006A162C">
          <w:rPr>
            <w:rStyle w:val="Hyperlink"/>
            <w:rFonts w:asciiTheme="minorHAnsi" w:hAnsiTheme="minorHAnsi"/>
          </w:rPr>
          <w:t>https://consumerdatastandardsaustralia.github.io/engineering/artefacts/</w:t>
        </w:r>
      </w:hyperlink>
      <w:r>
        <w:rPr>
          <w:color w:val="4472C4"/>
        </w:rPr>
        <w:t xml:space="preserve"> </w:t>
      </w:r>
    </w:p>
    <w:p w:rsidR="0094784F" w:rsidRPr="006A162C" w:rsidRDefault="0094784F" w:rsidP="0094784F">
      <w:pPr>
        <w:pStyle w:val="NormalWeb"/>
        <w:rPr>
          <w:rFonts w:ascii="Calibri" w:hAnsi="Calibri" w:cs="Calibri"/>
        </w:rPr>
      </w:pPr>
      <w:r w:rsidRPr="006A162C">
        <w:rPr>
          <w:rFonts w:ascii="Calibri" w:hAnsi="Calibri" w:cs="Calibri"/>
        </w:rPr>
        <w:t xml:space="preserve">This work </w:t>
      </w:r>
      <w:r w:rsidR="00B25915">
        <w:rPr>
          <w:rFonts w:ascii="Calibri" w:hAnsi="Calibri" w:cs="Calibri"/>
        </w:rPr>
        <w:t>is planned to</w:t>
      </w:r>
      <w:r w:rsidR="00B25915" w:rsidRPr="006A162C">
        <w:rPr>
          <w:rFonts w:ascii="Calibri" w:hAnsi="Calibri" w:cs="Calibri"/>
        </w:rPr>
        <w:t xml:space="preserve"> </w:t>
      </w:r>
      <w:r w:rsidRPr="006A162C">
        <w:rPr>
          <w:rFonts w:ascii="Calibri" w:hAnsi="Calibri" w:cs="Calibri"/>
        </w:rPr>
        <w:t>be viewed</w:t>
      </w:r>
      <w:r w:rsidR="00B25915">
        <w:rPr>
          <w:rFonts w:ascii="Calibri" w:hAnsi="Calibri" w:cs="Calibri"/>
        </w:rPr>
        <w:t xml:space="preserve"> upon completion of version 1.0</w:t>
      </w:r>
      <w:r w:rsidRPr="006A162C">
        <w:rPr>
          <w:rFonts w:ascii="Calibri" w:hAnsi="Calibri" w:cs="Calibri"/>
        </w:rPr>
        <w:t xml:space="preserve"> as a collection of tools that</w:t>
      </w:r>
      <w:r w:rsidR="00037B07">
        <w:rPr>
          <w:rFonts w:ascii="Calibri" w:hAnsi="Calibri" w:cs="Calibri"/>
        </w:rPr>
        <w:t>,</w:t>
      </w:r>
      <w:r w:rsidRPr="006A162C">
        <w:rPr>
          <w:rFonts w:ascii="Calibri" w:hAnsi="Calibri" w:cs="Calibri"/>
        </w:rPr>
        <w:t xml:space="preserve"> when connected</w:t>
      </w:r>
      <w:r w:rsidR="00037B07">
        <w:rPr>
          <w:rFonts w:ascii="Calibri" w:hAnsi="Calibri" w:cs="Calibri"/>
        </w:rPr>
        <w:t>,</w:t>
      </w:r>
      <w:r w:rsidRPr="006A162C">
        <w:rPr>
          <w:rFonts w:ascii="Calibri" w:hAnsi="Calibri" w:cs="Calibri"/>
        </w:rPr>
        <w:t xml:space="preserve"> </w:t>
      </w:r>
      <w:r w:rsidR="00BC241A">
        <w:rPr>
          <w:rFonts w:ascii="Calibri" w:hAnsi="Calibri" w:cs="Calibri"/>
        </w:rPr>
        <w:t xml:space="preserve">will </w:t>
      </w:r>
      <w:r w:rsidRPr="006A162C">
        <w:rPr>
          <w:rFonts w:ascii="Calibri" w:hAnsi="Calibri" w:cs="Calibri"/>
        </w:rPr>
        <w:t>offer a desktop simulation to demonstrate and validate the possible interactions between different CDR participants.</w:t>
      </w:r>
    </w:p>
    <w:p w:rsidR="0094784F" w:rsidRPr="006A162C" w:rsidRDefault="0094784F" w:rsidP="0094784F">
      <w:pPr>
        <w:pStyle w:val="NormalWeb"/>
        <w:rPr>
          <w:rFonts w:ascii="Calibri" w:hAnsi="Calibri" w:cs="Calibri"/>
        </w:rPr>
      </w:pPr>
      <w:r w:rsidRPr="006A162C">
        <w:rPr>
          <w:rFonts w:ascii="Calibri" w:hAnsi="Calibri" w:cs="Calibri"/>
        </w:rPr>
        <w:t xml:space="preserve">It is intended that at the workshop scheduled for 13 June, 2019, we will be able to demonstrate a self-contained "CDS Ecosystem Simulation” of the proposed Standards focused on Product APIs, that will after interrogation of the Product APIs, </w:t>
      </w:r>
      <w:r w:rsidR="00037B07">
        <w:rPr>
          <w:rFonts w:ascii="Calibri" w:hAnsi="Calibri" w:cs="Calibri"/>
        </w:rPr>
        <w:t xml:space="preserve">produce </w:t>
      </w:r>
      <w:r w:rsidRPr="006A162C">
        <w:rPr>
          <w:rFonts w:ascii="Calibri" w:hAnsi="Calibri" w:cs="Calibri"/>
        </w:rPr>
        <w:t>a sample, human-readable Product Summary document.</w:t>
      </w:r>
    </w:p>
    <w:p w:rsidR="00417338" w:rsidRDefault="00417338">
      <w:pPr>
        <w:spacing w:after="160" w:line="259" w:lineRule="auto"/>
        <w:rPr>
          <w:rFonts w:eastAsia="Times New Roman"/>
          <w:sz w:val="24"/>
          <w:szCs w:val="24"/>
          <w:lang w:eastAsia="en-AU"/>
        </w:rPr>
      </w:pPr>
      <w:r>
        <w:br w:type="page"/>
      </w:r>
    </w:p>
    <w:p w:rsidR="0094784F" w:rsidRPr="006A162C" w:rsidRDefault="0094784F" w:rsidP="0094784F">
      <w:pPr>
        <w:pStyle w:val="NormalWeb"/>
        <w:rPr>
          <w:rFonts w:ascii="Calibri" w:hAnsi="Calibri" w:cs="Calibri"/>
        </w:rPr>
      </w:pPr>
      <w:r w:rsidRPr="006A162C">
        <w:rPr>
          <w:rFonts w:ascii="Calibri" w:hAnsi="Calibri" w:cs="Calibri"/>
        </w:rPr>
        <w:lastRenderedPageBreak/>
        <w:t>The above outcomes have been achieved so far in using the following engineering artefacts that are currently being adopted:</w:t>
      </w:r>
    </w:p>
    <w:p w:rsidR="0094784F" w:rsidRPr="006A162C" w:rsidRDefault="0094784F" w:rsidP="006A162C">
      <w:pPr>
        <w:numPr>
          <w:ilvl w:val="0"/>
          <w:numId w:val="31"/>
        </w:numPr>
        <w:spacing w:after="120"/>
        <w:rPr>
          <w:rFonts w:eastAsia="Times New Roman"/>
          <w:sz w:val="24"/>
          <w:szCs w:val="24"/>
          <w:lang w:eastAsia="en-AU"/>
        </w:rPr>
      </w:pPr>
      <w:r w:rsidRPr="006A162C">
        <w:rPr>
          <w:rFonts w:eastAsia="Times New Roman"/>
          <w:sz w:val="24"/>
          <w:szCs w:val="24"/>
          <w:lang w:eastAsia="en-AU"/>
        </w:rPr>
        <w:t>A holistic definition of the Standards in machine “parseable” format aligned with the API standard (version 0.9.3) and packaged as cds-models</w:t>
      </w:r>
    </w:p>
    <w:p w:rsidR="0094784F" w:rsidRPr="006A162C" w:rsidRDefault="0094784F" w:rsidP="006A162C">
      <w:pPr>
        <w:numPr>
          <w:ilvl w:val="0"/>
          <w:numId w:val="31"/>
        </w:numPr>
        <w:spacing w:after="120"/>
        <w:rPr>
          <w:rFonts w:eastAsia="Times New Roman"/>
          <w:sz w:val="24"/>
          <w:szCs w:val="24"/>
          <w:lang w:eastAsia="en-AU"/>
        </w:rPr>
      </w:pPr>
      <w:r w:rsidRPr="006A162C">
        <w:rPr>
          <w:rFonts w:eastAsia="Times New Roman"/>
          <w:sz w:val="24"/>
          <w:szCs w:val="24"/>
          <w:lang w:eastAsia="en-AU"/>
        </w:rPr>
        <w:t>An example Data Holder implementation (cds-holder-java-spring) allowing sample product data to be loaded</w:t>
      </w:r>
    </w:p>
    <w:p w:rsidR="0094784F" w:rsidRPr="006A162C" w:rsidRDefault="0094784F" w:rsidP="006A162C">
      <w:pPr>
        <w:numPr>
          <w:ilvl w:val="0"/>
          <w:numId w:val="31"/>
        </w:numPr>
        <w:spacing w:after="120"/>
        <w:rPr>
          <w:rFonts w:eastAsia="Times New Roman"/>
          <w:sz w:val="24"/>
          <w:szCs w:val="24"/>
          <w:lang w:eastAsia="en-AU"/>
        </w:rPr>
      </w:pPr>
      <w:r w:rsidRPr="006A162C">
        <w:rPr>
          <w:rFonts w:eastAsia="Times New Roman"/>
          <w:sz w:val="24"/>
          <w:szCs w:val="24"/>
          <w:lang w:eastAsia="en-AU"/>
        </w:rPr>
        <w:t>A Discovery Server (cds-discovery) based on an initial ACCC Registry draft specification</w:t>
      </w:r>
    </w:p>
    <w:p w:rsidR="0094784F" w:rsidRPr="006A162C" w:rsidRDefault="0094784F" w:rsidP="00720791">
      <w:pPr>
        <w:numPr>
          <w:ilvl w:val="0"/>
          <w:numId w:val="31"/>
        </w:numPr>
        <w:spacing w:after="120"/>
        <w:rPr>
          <w:rFonts w:eastAsia="Times New Roman"/>
          <w:sz w:val="24"/>
          <w:szCs w:val="24"/>
          <w:lang w:eastAsia="en-AU"/>
        </w:rPr>
      </w:pPr>
      <w:r w:rsidRPr="006A162C">
        <w:rPr>
          <w:rFonts w:eastAsia="Times New Roman"/>
          <w:sz w:val="24"/>
          <w:szCs w:val="24"/>
          <w:lang w:eastAsia="en-AU"/>
        </w:rPr>
        <w:t>Conformance checking (cds-conformance) that allows iterative testing of Product APIs including structural conformance checking and baseline business rules</w:t>
      </w:r>
    </w:p>
    <w:p w:rsidR="0094784F" w:rsidRPr="006A162C" w:rsidRDefault="0094784F" w:rsidP="006A162C">
      <w:pPr>
        <w:numPr>
          <w:ilvl w:val="0"/>
          <w:numId w:val="31"/>
        </w:numPr>
        <w:spacing w:after="120"/>
        <w:rPr>
          <w:rFonts w:eastAsia="Times New Roman"/>
          <w:sz w:val="24"/>
          <w:szCs w:val="24"/>
          <w:lang w:eastAsia="en-AU"/>
        </w:rPr>
      </w:pPr>
      <w:r w:rsidRPr="006A162C">
        <w:rPr>
          <w:rFonts w:eastAsia="Times New Roman"/>
          <w:sz w:val="24"/>
          <w:szCs w:val="24"/>
          <w:lang w:eastAsia="en-AU"/>
        </w:rPr>
        <w:t>A code generator (cds-codegen) allowing multiple artefacts to be generated including reference implementations providing:</w:t>
      </w:r>
    </w:p>
    <w:p w:rsidR="0094784F" w:rsidRPr="006A162C" w:rsidRDefault="0094784F" w:rsidP="0094784F">
      <w:pPr>
        <w:numPr>
          <w:ilvl w:val="1"/>
          <w:numId w:val="32"/>
        </w:numPr>
        <w:rPr>
          <w:rFonts w:eastAsia="Times New Roman"/>
          <w:sz w:val="24"/>
          <w:szCs w:val="24"/>
          <w:lang w:eastAsia="en-AU"/>
        </w:rPr>
      </w:pPr>
      <w:r w:rsidRPr="006A162C">
        <w:rPr>
          <w:rFonts w:eastAsia="Times New Roman"/>
          <w:sz w:val="24"/>
          <w:szCs w:val="24"/>
          <w:lang w:eastAsia="en-AU"/>
        </w:rPr>
        <w:t>Operationalised Swagger Code Generation using native swagger-core for parsing by industry tools</w:t>
      </w:r>
    </w:p>
    <w:p w:rsidR="0094784F" w:rsidRPr="006A162C" w:rsidRDefault="0094784F" w:rsidP="0094784F">
      <w:pPr>
        <w:numPr>
          <w:ilvl w:val="1"/>
          <w:numId w:val="32"/>
        </w:numPr>
        <w:rPr>
          <w:rFonts w:eastAsia="Times New Roman"/>
          <w:sz w:val="24"/>
          <w:szCs w:val="24"/>
          <w:lang w:eastAsia="en-AU"/>
        </w:rPr>
      </w:pPr>
      <w:r w:rsidRPr="006A162C">
        <w:rPr>
          <w:rFonts w:eastAsia="Times New Roman"/>
          <w:sz w:val="24"/>
          <w:szCs w:val="24"/>
          <w:lang w:eastAsia="en-AU"/>
        </w:rPr>
        <w:t>A standalone Data Recipient Library (cds-client-java) for inclusion in Java projects</w:t>
      </w:r>
    </w:p>
    <w:p w:rsidR="0094784F" w:rsidRPr="006A162C" w:rsidRDefault="0094784F" w:rsidP="0094784F">
      <w:pPr>
        <w:numPr>
          <w:ilvl w:val="1"/>
          <w:numId w:val="32"/>
        </w:numPr>
        <w:rPr>
          <w:rFonts w:eastAsia="Times New Roman"/>
          <w:sz w:val="24"/>
          <w:szCs w:val="24"/>
          <w:lang w:eastAsia="en-AU"/>
        </w:rPr>
      </w:pPr>
      <w:r w:rsidRPr="006A162C">
        <w:rPr>
          <w:rFonts w:eastAsia="Times New Roman"/>
          <w:sz w:val="24"/>
          <w:szCs w:val="24"/>
          <w:lang w:eastAsia="en-AU"/>
        </w:rPr>
        <w:t>A self-contained Data Recipient Command Line Interface (cds-client-java-cli) for Developer testing of endpoints</w:t>
      </w:r>
    </w:p>
    <w:p w:rsidR="0094784F" w:rsidRPr="006A162C" w:rsidRDefault="0094784F" w:rsidP="0094784F">
      <w:pPr>
        <w:numPr>
          <w:ilvl w:val="1"/>
          <w:numId w:val="32"/>
        </w:numPr>
        <w:rPr>
          <w:rFonts w:eastAsia="Times New Roman"/>
          <w:sz w:val="24"/>
          <w:szCs w:val="24"/>
          <w:lang w:eastAsia="en-AU"/>
        </w:rPr>
      </w:pPr>
      <w:r w:rsidRPr="006A162C">
        <w:rPr>
          <w:rFonts w:eastAsia="Times New Roman"/>
          <w:sz w:val="24"/>
          <w:szCs w:val="24"/>
          <w:lang w:eastAsia="en-AU"/>
        </w:rPr>
        <w:t>Example Server Stubs (cds-stubs-java-spring) as a Java "starter kit" for the proposed Standards</w:t>
      </w:r>
    </w:p>
    <w:p w:rsidR="0094784F" w:rsidRPr="006A162C" w:rsidRDefault="0094784F" w:rsidP="00417338">
      <w:pPr>
        <w:numPr>
          <w:ilvl w:val="1"/>
          <w:numId w:val="32"/>
        </w:numPr>
        <w:spacing w:after="120"/>
        <w:rPr>
          <w:rFonts w:eastAsia="Times New Roman"/>
          <w:sz w:val="24"/>
          <w:szCs w:val="24"/>
          <w:lang w:eastAsia="en-AU"/>
        </w:rPr>
      </w:pPr>
      <w:r w:rsidRPr="006A162C">
        <w:rPr>
          <w:rFonts w:eastAsia="Times New Roman"/>
          <w:sz w:val="24"/>
          <w:szCs w:val="24"/>
          <w:lang w:eastAsia="en-AU"/>
        </w:rPr>
        <w:t>Sphinx documentation in Engineering site</w:t>
      </w:r>
    </w:p>
    <w:p w:rsidR="0094784F" w:rsidRPr="006A162C" w:rsidRDefault="0094784F" w:rsidP="006A162C">
      <w:pPr>
        <w:numPr>
          <w:ilvl w:val="0"/>
          <w:numId w:val="33"/>
        </w:numPr>
        <w:spacing w:after="120"/>
        <w:rPr>
          <w:rFonts w:eastAsia="Times New Roman"/>
          <w:sz w:val="24"/>
          <w:szCs w:val="24"/>
          <w:lang w:eastAsia="en-AU"/>
        </w:rPr>
      </w:pPr>
      <w:r w:rsidRPr="006A162C">
        <w:rPr>
          <w:rFonts w:eastAsia="Times New Roman"/>
          <w:sz w:val="24"/>
          <w:szCs w:val="24"/>
          <w:lang w:eastAsia="en-AU"/>
        </w:rPr>
        <w:t>A basic web interface to enhance the overall Developer experience</w:t>
      </w:r>
    </w:p>
    <w:p w:rsidR="0094784F" w:rsidRPr="006A162C" w:rsidRDefault="0094784F" w:rsidP="006A162C">
      <w:pPr>
        <w:numPr>
          <w:ilvl w:val="0"/>
          <w:numId w:val="33"/>
        </w:numPr>
        <w:spacing w:after="120"/>
        <w:rPr>
          <w:rFonts w:eastAsia="Times New Roman"/>
          <w:sz w:val="24"/>
          <w:szCs w:val="24"/>
          <w:lang w:eastAsia="en-AU"/>
        </w:rPr>
      </w:pPr>
      <w:r w:rsidRPr="006A162C">
        <w:rPr>
          <w:rFonts w:eastAsia="Times New Roman"/>
          <w:sz w:val="24"/>
          <w:szCs w:val="24"/>
          <w:lang w:eastAsia="en-AU"/>
        </w:rPr>
        <w:t>A bootstrap cds-</w:t>
      </w:r>
      <w:bookmarkStart w:id="1" w:name="_GoBack"/>
      <w:bookmarkEnd w:id="1"/>
      <w:r w:rsidRPr="006A162C">
        <w:rPr>
          <w:rFonts w:eastAsia="Times New Roman"/>
          <w:sz w:val="24"/>
          <w:szCs w:val="24"/>
          <w:lang w:eastAsia="en-AU"/>
        </w:rPr>
        <w:t>client-cli that natively accesses the "CDS Ecosystem Simulator"</w:t>
      </w:r>
    </w:p>
    <w:p w:rsidR="00417338" w:rsidRDefault="00417338">
      <w:pPr>
        <w:spacing w:after="160" w:line="259" w:lineRule="auto"/>
        <w:rPr>
          <w:rFonts w:asciiTheme="minorHAnsi" w:eastAsia="Times New Roman" w:hAnsiTheme="minorHAnsi" w:cs="Times New Roman"/>
          <w:b/>
          <w:bCs/>
          <w:sz w:val="36"/>
          <w:szCs w:val="36"/>
          <w:lang w:eastAsia="en-AU"/>
        </w:rPr>
      </w:pPr>
      <w:r>
        <w:rPr>
          <w:rFonts w:cs="Times New Roman"/>
          <w:sz w:val="36"/>
          <w:szCs w:val="36"/>
        </w:rPr>
        <w:br w:type="page"/>
      </w:r>
    </w:p>
    <w:p w:rsidR="000D5EFA" w:rsidRPr="000D5EFA" w:rsidRDefault="000D5EFA" w:rsidP="006A162C">
      <w:pPr>
        <w:pStyle w:val="Heading2"/>
        <w:rPr>
          <w:rFonts w:cs="Times New Roman"/>
          <w:sz w:val="36"/>
          <w:szCs w:val="36"/>
        </w:rPr>
      </w:pPr>
      <w:r w:rsidRPr="000D5EFA">
        <w:rPr>
          <w:rFonts w:cs="Times New Roman"/>
          <w:sz w:val="36"/>
          <w:szCs w:val="36"/>
        </w:rPr>
        <w:lastRenderedPageBreak/>
        <w:t xml:space="preserve">Next steps:  </w:t>
      </w:r>
      <w:r>
        <w:rPr>
          <w:rFonts w:cs="Times New Roman"/>
          <w:sz w:val="36"/>
          <w:szCs w:val="36"/>
        </w:rPr>
        <w:t>third</w:t>
      </w:r>
      <w:r w:rsidRPr="000D5EFA">
        <w:rPr>
          <w:rFonts w:cs="Times New Roman"/>
          <w:sz w:val="36"/>
          <w:szCs w:val="36"/>
        </w:rPr>
        <w:t xml:space="preserve"> quarter 2019</w:t>
      </w:r>
    </w:p>
    <w:p w:rsidR="000D5EFA" w:rsidRPr="00B23BD0" w:rsidRDefault="000D5EFA" w:rsidP="000D5EFA">
      <w:pPr>
        <w:rPr>
          <w:rFonts w:asciiTheme="minorHAnsi" w:eastAsia="Times New Roman" w:hAnsiTheme="minorHAnsi"/>
          <w:sz w:val="24"/>
          <w:szCs w:val="24"/>
        </w:rPr>
      </w:pPr>
      <w:bookmarkStart w:id="2" w:name="_mww7jsvbz4mj" w:colFirst="0" w:colLast="0"/>
      <w:bookmarkEnd w:id="2"/>
      <w:r w:rsidRPr="000D5EFA">
        <w:rPr>
          <w:rFonts w:asciiTheme="minorHAnsi" w:eastAsia="Times New Roman" w:hAnsiTheme="minorHAnsi"/>
          <w:sz w:val="24"/>
          <w:szCs w:val="24"/>
        </w:rPr>
        <w:t xml:space="preserve">Each work stream is rapidly progressing towards version 1.0 of draft technical standards to support the </w:t>
      </w:r>
      <w:r w:rsidRPr="00B23BD0">
        <w:rPr>
          <w:rFonts w:asciiTheme="minorHAnsi" w:eastAsia="Times New Roman" w:hAnsiTheme="minorHAnsi"/>
          <w:sz w:val="24"/>
          <w:szCs w:val="24"/>
        </w:rPr>
        <w:t xml:space="preserve">first </w:t>
      </w:r>
      <w:r w:rsidRPr="000D5EFA">
        <w:rPr>
          <w:rFonts w:asciiTheme="minorHAnsi" w:eastAsia="Times New Roman" w:hAnsiTheme="minorHAnsi"/>
          <w:sz w:val="24"/>
          <w:szCs w:val="24"/>
        </w:rPr>
        <w:t>implementation of the Consumer Data Right</w:t>
      </w:r>
      <w:r w:rsidRPr="00B23BD0">
        <w:rPr>
          <w:rFonts w:asciiTheme="minorHAnsi" w:eastAsia="Times New Roman" w:hAnsiTheme="minorHAnsi"/>
          <w:sz w:val="24"/>
          <w:szCs w:val="24"/>
        </w:rPr>
        <w:t>,</w:t>
      </w:r>
      <w:r w:rsidRPr="000D5EFA">
        <w:rPr>
          <w:rFonts w:asciiTheme="minorHAnsi" w:eastAsia="Times New Roman" w:hAnsiTheme="minorHAnsi"/>
          <w:sz w:val="24"/>
          <w:szCs w:val="24"/>
        </w:rPr>
        <w:t xml:space="preserve"> in the banking sector. </w:t>
      </w:r>
      <w:r w:rsidR="00BC241A" w:rsidRPr="000D5EFA">
        <w:rPr>
          <w:rFonts w:asciiTheme="minorHAnsi" w:eastAsia="Times New Roman" w:hAnsiTheme="minorHAnsi"/>
          <w:sz w:val="24"/>
          <w:szCs w:val="24"/>
        </w:rPr>
        <w:t>Whil</w:t>
      </w:r>
      <w:r w:rsidR="00BC241A">
        <w:rPr>
          <w:rFonts w:asciiTheme="minorHAnsi" w:eastAsia="Times New Roman" w:hAnsiTheme="minorHAnsi"/>
          <w:sz w:val="24"/>
          <w:szCs w:val="24"/>
        </w:rPr>
        <w:t>e</w:t>
      </w:r>
      <w:r w:rsidR="00BC241A" w:rsidRPr="000D5EFA">
        <w:rPr>
          <w:rFonts w:asciiTheme="minorHAnsi" w:eastAsia="Times New Roman" w:hAnsiTheme="minorHAnsi"/>
          <w:sz w:val="24"/>
          <w:szCs w:val="24"/>
        </w:rPr>
        <w:t xml:space="preserve"> </w:t>
      </w:r>
      <w:r w:rsidRPr="000D5EFA">
        <w:rPr>
          <w:rFonts w:asciiTheme="minorHAnsi" w:eastAsia="Times New Roman" w:hAnsiTheme="minorHAnsi"/>
          <w:sz w:val="24"/>
          <w:szCs w:val="24"/>
        </w:rPr>
        <w:t xml:space="preserve">outstanding issues for Version 1.0 of the technical standards are outlined under each work stream above, </w:t>
      </w:r>
      <w:r w:rsidRPr="00B23BD0">
        <w:rPr>
          <w:rFonts w:asciiTheme="minorHAnsi" w:eastAsia="Times New Roman" w:hAnsiTheme="minorHAnsi"/>
          <w:sz w:val="24"/>
          <w:szCs w:val="24"/>
        </w:rPr>
        <w:t xml:space="preserve">we believe the core of the standards are close to a point where they can be utilised and tested for usability by intending participants in the </w:t>
      </w:r>
      <w:r w:rsidR="00DD5291">
        <w:rPr>
          <w:rFonts w:asciiTheme="minorHAnsi" w:eastAsia="Times New Roman" w:hAnsiTheme="minorHAnsi"/>
          <w:sz w:val="24"/>
          <w:szCs w:val="24"/>
        </w:rPr>
        <w:t xml:space="preserve">CDR </w:t>
      </w:r>
      <w:r w:rsidRPr="00B23BD0">
        <w:rPr>
          <w:rFonts w:asciiTheme="minorHAnsi" w:eastAsia="Times New Roman" w:hAnsiTheme="minorHAnsi"/>
          <w:sz w:val="24"/>
          <w:szCs w:val="24"/>
        </w:rPr>
        <w:t>regime.</w:t>
      </w:r>
    </w:p>
    <w:p w:rsidR="000D5EFA" w:rsidRPr="00B23BD0" w:rsidRDefault="000D5EFA" w:rsidP="000D5EFA">
      <w:pPr>
        <w:rPr>
          <w:rFonts w:asciiTheme="minorHAnsi" w:eastAsia="Times New Roman" w:hAnsiTheme="minorHAnsi"/>
          <w:sz w:val="24"/>
          <w:szCs w:val="24"/>
        </w:rPr>
      </w:pPr>
    </w:p>
    <w:p w:rsidR="00B23BD0" w:rsidRPr="00B23BD0" w:rsidRDefault="000D5EFA" w:rsidP="000D5EFA">
      <w:pPr>
        <w:rPr>
          <w:rFonts w:asciiTheme="minorHAnsi" w:eastAsia="Times New Roman" w:hAnsiTheme="minorHAnsi"/>
          <w:sz w:val="24"/>
          <w:szCs w:val="24"/>
        </w:rPr>
      </w:pPr>
      <w:r w:rsidRPr="00B23BD0">
        <w:rPr>
          <w:rFonts w:asciiTheme="minorHAnsi" w:eastAsia="Times New Roman" w:hAnsiTheme="minorHAnsi"/>
          <w:sz w:val="24"/>
          <w:szCs w:val="24"/>
        </w:rPr>
        <w:t xml:space="preserve">The focus for the next phase will be for the Data Standards Body to work with the </w:t>
      </w:r>
      <w:r w:rsidR="00B23BD0" w:rsidRPr="00B23BD0">
        <w:rPr>
          <w:rFonts w:asciiTheme="minorHAnsi" w:eastAsia="Times New Roman" w:hAnsiTheme="minorHAnsi"/>
          <w:sz w:val="24"/>
          <w:szCs w:val="24"/>
        </w:rPr>
        <w:t xml:space="preserve">ACCC and </w:t>
      </w:r>
      <w:r w:rsidRPr="00B23BD0">
        <w:rPr>
          <w:rFonts w:asciiTheme="minorHAnsi" w:eastAsia="Times New Roman" w:hAnsiTheme="minorHAnsi"/>
          <w:sz w:val="24"/>
          <w:szCs w:val="24"/>
        </w:rPr>
        <w:t>ecosystem participants to develop and implement a tes</w:t>
      </w:r>
      <w:r w:rsidRPr="000D5EFA">
        <w:rPr>
          <w:rFonts w:asciiTheme="minorHAnsi" w:eastAsia="Times New Roman" w:hAnsiTheme="minorHAnsi"/>
          <w:sz w:val="24"/>
          <w:szCs w:val="24"/>
        </w:rPr>
        <w:t>t</w:t>
      </w:r>
      <w:r w:rsidR="00B23BD0" w:rsidRPr="00B23BD0">
        <w:rPr>
          <w:rFonts w:asciiTheme="minorHAnsi" w:eastAsia="Times New Roman" w:hAnsiTheme="minorHAnsi"/>
          <w:sz w:val="24"/>
          <w:szCs w:val="24"/>
        </w:rPr>
        <w:t xml:space="preserve"> process to ensure the standards are consistent and implementable for both Data Holders and </w:t>
      </w:r>
      <w:r w:rsidR="00DD5291">
        <w:rPr>
          <w:rFonts w:asciiTheme="minorHAnsi" w:eastAsia="Times New Roman" w:hAnsiTheme="minorHAnsi"/>
          <w:sz w:val="24"/>
          <w:szCs w:val="24"/>
        </w:rPr>
        <w:t>D</w:t>
      </w:r>
      <w:r w:rsidR="00B23BD0" w:rsidRPr="00B23BD0">
        <w:rPr>
          <w:rFonts w:asciiTheme="minorHAnsi" w:eastAsia="Times New Roman" w:hAnsiTheme="minorHAnsi"/>
          <w:sz w:val="24"/>
          <w:szCs w:val="24"/>
        </w:rPr>
        <w:t>ata Recipients.</w:t>
      </w:r>
    </w:p>
    <w:p w:rsidR="00B23BD0" w:rsidRPr="00B23BD0" w:rsidRDefault="00B23BD0" w:rsidP="000D5EFA">
      <w:pPr>
        <w:rPr>
          <w:rFonts w:asciiTheme="minorHAnsi" w:eastAsia="Times New Roman" w:hAnsiTheme="minorHAnsi"/>
          <w:sz w:val="24"/>
          <w:szCs w:val="24"/>
        </w:rPr>
      </w:pPr>
    </w:p>
    <w:p w:rsidR="00B23BD0" w:rsidRDefault="00B23BD0" w:rsidP="000D5EFA">
      <w:pPr>
        <w:rPr>
          <w:rFonts w:asciiTheme="minorHAnsi" w:eastAsia="Times New Roman" w:hAnsiTheme="minorHAnsi"/>
          <w:sz w:val="24"/>
          <w:szCs w:val="24"/>
        </w:rPr>
      </w:pPr>
      <w:r w:rsidRPr="00B23BD0">
        <w:rPr>
          <w:rFonts w:asciiTheme="minorHAnsi" w:eastAsia="Times New Roman" w:hAnsiTheme="minorHAnsi"/>
          <w:sz w:val="24"/>
          <w:szCs w:val="24"/>
        </w:rPr>
        <w:t>The intention is to split the testing into several phases, commencing with Product Reference Data which is largely currently publicly available</w:t>
      </w:r>
      <w:r w:rsidR="00BC241A">
        <w:rPr>
          <w:rFonts w:asciiTheme="minorHAnsi" w:eastAsia="Times New Roman" w:hAnsiTheme="minorHAnsi"/>
          <w:sz w:val="24"/>
          <w:szCs w:val="24"/>
        </w:rPr>
        <w:t xml:space="preserve"> and </w:t>
      </w:r>
      <w:r w:rsidRPr="00B23BD0">
        <w:rPr>
          <w:rFonts w:asciiTheme="minorHAnsi" w:eastAsia="Times New Roman" w:hAnsiTheme="minorHAnsi"/>
          <w:sz w:val="24"/>
          <w:szCs w:val="24"/>
        </w:rPr>
        <w:t>which under the CDR regime will be retained in a common digital form for easier review by consumers and their accredited advisors. Subsequent testing phases will review the application of the standards against controlled customer data prior to a full implementation of the CDR regime once legislation is passed by parliament and has received royal assent.</w:t>
      </w:r>
    </w:p>
    <w:p w:rsidR="001515CA" w:rsidRDefault="001515CA" w:rsidP="000D5EFA">
      <w:pPr>
        <w:rPr>
          <w:rFonts w:asciiTheme="minorHAnsi" w:eastAsia="Times New Roman" w:hAnsiTheme="minorHAnsi"/>
          <w:sz w:val="24"/>
          <w:szCs w:val="24"/>
        </w:rPr>
      </w:pPr>
    </w:p>
    <w:p w:rsidR="001515CA" w:rsidRPr="00B23BD0" w:rsidRDefault="001515CA" w:rsidP="000D5EFA">
      <w:pPr>
        <w:rPr>
          <w:rFonts w:asciiTheme="minorHAnsi" w:eastAsia="Times New Roman" w:hAnsiTheme="minorHAnsi"/>
          <w:sz w:val="24"/>
          <w:szCs w:val="24"/>
        </w:rPr>
      </w:pPr>
      <w:r>
        <w:rPr>
          <w:rFonts w:asciiTheme="minorHAnsi" w:eastAsia="Times New Roman" w:hAnsiTheme="minorHAnsi"/>
          <w:sz w:val="24"/>
          <w:szCs w:val="24"/>
        </w:rPr>
        <w:t xml:space="preserve">Once the testing </w:t>
      </w:r>
      <w:r w:rsidR="00BC241A">
        <w:rPr>
          <w:rFonts w:asciiTheme="minorHAnsi" w:eastAsia="Times New Roman" w:hAnsiTheme="minorHAnsi"/>
          <w:sz w:val="24"/>
          <w:szCs w:val="24"/>
        </w:rPr>
        <w:t xml:space="preserve">has been </w:t>
      </w:r>
      <w:r>
        <w:rPr>
          <w:rFonts w:asciiTheme="minorHAnsi" w:eastAsia="Times New Roman" w:hAnsiTheme="minorHAnsi"/>
          <w:sz w:val="24"/>
          <w:szCs w:val="24"/>
        </w:rPr>
        <w:t>undertaken the Data Standards Body will review the results and publish a final update of the standards which are intended to become the formal version 1</w:t>
      </w:r>
      <w:r w:rsidR="00BC241A">
        <w:rPr>
          <w:rFonts w:asciiTheme="minorHAnsi" w:eastAsia="Times New Roman" w:hAnsiTheme="minorHAnsi"/>
          <w:sz w:val="24"/>
          <w:szCs w:val="24"/>
        </w:rPr>
        <w:t>.0</w:t>
      </w:r>
      <w:r>
        <w:rPr>
          <w:rFonts w:asciiTheme="minorHAnsi" w:eastAsia="Times New Roman" w:hAnsiTheme="minorHAnsi"/>
          <w:sz w:val="24"/>
          <w:szCs w:val="24"/>
        </w:rPr>
        <w:t xml:space="preserve"> to be implemented once the regime goes live for the banking sector.</w:t>
      </w:r>
    </w:p>
    <w:p w:rsidR="00B23BD0" w:rsidRPr="00B23BD0" w:rsidRDefault="00B23BD0" w:rsidP="000D5EFA">
      <w:pPr>
        <w:rPr>
          <w:rFonts w:asciiTheme="minorHAnsi" w:eastAsia="Times New Roman" w:hAnsiTheme="minorHAnsi"/>
          <w:sz w:val="24"/>
          <w:szCs w:val="24"/>
        </w:rPr>
      </w:pPr>
    </w:p>
    <w:p w:rsidR="00B23BD0" w:rsidRPr="00B23BD0" w:rsidRDefault="00B23BD0" w:rsidP="000D5EFA">
      <w:pPr>
        <w:rPr>
          <w:rFonts w:asciiTheme="minorHAnsi" w:eastAsia="Times New Roman" w:hAnsiTheme="minorHAnsi"/>
          <w:sz w:val="24"/>
          <w:szCs w:val="24"/>
        </w:rPr>
      </w:pPr>
      <w:r w:rsidRPr="00B23BD0">
        <w:rPr>
          <w:rFonts w:asciiTheme="minorHAnsi" w:eastAsia="Times New Roman" w:hAnsiTheme="minorHAnsi"/>
          <w:sz w:val="24"/>
          <w:szCs w:val="24"/>
        </w:rPr>
        <w:t xml:space="preserve">During this phase the Engineering Working Group will aim to </w:t>
      </w:r>
      <w:r w:rsidR="00DD5291">
        <w:rPr>
          <w:rFonts w:asciiTheme="minorHAnsi" w:eastAsia="Times New Roman" w:hAnsiTheme="minorHAnsi"/>
          <w:sz w:val="24"/>
          <w:szCs w:val="24"/>
        </w:rPr>
        <w:t xml:space="preserve">further </w:t>
      </w:r>
      <w:r w:rsidRPr="00B23BD0">
        <w:rPr>
          <w:rFonts w:asciiTheme="minorHAnsi" w:eastAsia="Times New Roman" w:hAnsiTheme="minorHAnsi"/>
          <w:sz w:val="24"/>
          <w:szCs w:val="24"/>
        </w:rPr>
        <w:t>develop and identify conformance tools and reference implementations for participants to ensure they are building conforming platforms.</w:t>
      </w:r>
    </w:p>
    <w:p w:rsidR="00B23BD0" w:rsidRPr="00B23BD0" w:rsidRDefault="00B23BD0" w:rsidP="000D5EFA">
      <w:pPr>
        <w:rPr>
          <w:rFonts w:asciiTheme="minorHAnsi" w:eastAsia="Times New Roman" w:hAnsiTheme="minorHAnsi"/>
          <w:sz w:val="24"/>
          <w:szCs w:val="24"/>
        </w:rPr>
      </w:pPr>
    </w:p>
    <w:p w:rsidR="00B23BD0" w:rsidRDefault="00B23BD0" w:rsidP="000D5EFA">
      <w:pPr>
        <w:rPr>
          <w:rFonts w:asciiTheme="minorHAnsi" w:eastAsia="Times New Roman" w:hAnsiTheme="minorHAnsi"/>
          <w:sz w:val="24"/>
          <w:szCs w:val="24"/>
        </w:rPr>
      </w:pPr>
      <w:r w:rsidRPr="00B23BD0">
        <w:rPr>
          <w:rFonts w:asciiTheme="minorHAnsi" w:eastAsia="Times New Roman" w:hAnsiTheme="minorHAnsi"/>
          <w:sz w:val="24"/>
          <w:szCs w:val="24"/>
        </w:rPr>
        <w:t>The Consumer Experience Working Group will</w:t>
      </w:r>
      <w:r w:rsidR="00BC241A">
        <w:rPr>
          <w:rFonts w:asciiTheme="minorHAnsi" w:eastAsia="Times New Roman" w:hAnsiTheme="minorHAnsi"/>
          <w:sz w:val="24"/>
          <w:szCs w:val="24"/>
        </w:rPr>
        <w:t>, together with ACCC and OAIC,</w:t>
      </w:r>
      <w:r w:rsidRPr="00B23BD0">
        <w:rPr>
          <w:rFonts w:asciiTheme="minorHAnsi" w:eastAsia="Times New Roman" w:hAnsiTheme="minorHAnsi"/>
          <w:sz w:val="24"/>
          <w:szCs w:val="24"/>
        </w:rPr>
        <w:t xml:space="preserve"> commence development of guidance </w:t>
      </w:r>
      <w:r w:rsidR="004C6976">
        <w:rPr>
          <w:rFonts w:asciiTheme="minorHAnsi" w:eastAsia="Times New Roman" w:hAnsiTheme="minorHAnsi"/>
          <w:sz w:val="24"/>
          <w:szCs w:val="24"/>
        </w:rPr>
        <w:t xml:space="preserve">to help </w:t>
      </w:r>
      <w:r>
        <w:rPr>
          <w:rFonts w:asciiTheme="minorHAnsi" w:eastAsia="Times New Roman" w:hAnsiTheme="minorHAnsi"/>
          <w:sz w:val="24"/>
          <w:szCs w:val="24"/>
        </w:rPr>
        <w:t>CDR regime participants</w:t>
      </w:r>
      <w:r w:rsidR="001515CA">
        <w:rPr>
          <w:rFonts w:asciiTheme="minorHAnsi" w:eastAsia="Times New Roman" w:hAnsiTheme="minorHAnsi"/>
          <w:sz w:val="24"/>
          <w:szCs w:val="24"/>
        </w:rPr>
        <w:t xml:space="preserve"> </w:t>
      </w:r>
      <w:r w:rsidR="005B5314">
        <w:rPr>
          <w:rFonts w:asciiTheme="minorHAnsi" w:eastAsia="Times New Roman" w:hAnsiTheme="minorHAnsi"/>
          <w:sz w:val="24"/>
          <w:szCs w:val="24"/>
        </w:rPr>
        <w:t>provide consumers with a simple and trusted data sharing experience</w:t>
      </w:r>
      <w:r w:rsidR="00BC241A">
        <w:rPr>
          <w:rFonts w:asciiTheme="minorHAnsi" w:eastAsia="Times New Roman" w:hAnsiTheme="minorHAnsi"/>
          <w:sz w:val="24"/>
          <w:szCs w:val="24"/>
        </w:rPr>
        <w:t xml:space="preserve"> and accredited third part</w:t>
      </w:r>
      <w:r w:rsidR="005408EC">
        <w:rPr>
          <w:rFonts w:asciiTheme="minorHAnsi" w:eastAsia="Times New Roman" w:hAnsiTheme="minorHAnsi"/>
          <w:sz w:val="24"/>
          <w:szCs w:val="24"/>
        </w:rPr>
        <w:t>i</w:t>
      </w:r>
      <w:r w:rsidR="00BC241A">
        <w:rPr>
          <w:rFonts w:asciiTheme="minorHAnsi" w:eastAsia="Times New Roman" w:hAnsiTheme="minorHAnsi"/>
          <w:sz w:val="24"/>
          <w:szCs w:val="24"/>
        </w:rPr>
        <w:t>es with a clear</w:t>
      </w:r>
      <w:r w:rsidR="005408EC">
        <w:rPr>
          <w:rFonts w:asciiTheme="minorHAnsi" w:eastAsia="Times New Roman" w:hAnsiTheme="minorHAnsi"/>
          <w:sz w:val="24"/>
          <w:szCs w:val="24"/>
        </w:rPr>
        <w:t xml:space="preserve"> set of interface requirements.</w:t>
      </w:r>
    </w:p>
    <w:p w:rsidR="001515CA" w:rsidRDefault="001515CA" w:rsidP="000D5EFA">
      <w:pPr>
        <w:rPr>
          <w:rFonts w:asciiTheme="minorHAnsi" w:eastAsia="Times New Roman" w:hAnsiTheme="minorHAnsi"/>
          <w:sz w:val="24"/>
          <w:szCs w:val="24"/>
        </w:rPr>
      </w:pPr>
    </w:p>
    <w:p w:rsidR="00B23BD0" w:rsidRDefault="001515CA" w:rsidP="000D5EFA">
      <w:pPr>
        <w:rPr>
          <w:rFonts w:asciiTheme="minorHAnsi" w:eastAsia="Times New Roman" w:hAnsiTheme="minorHAnsi"/>
          <w:szCs w:val="24"/>
        </w:rPr>
      </w:pPr>
      <w:r>
        <w:rPr>
          <w:rFonts w:asciiTheme="minorHAnsi" w:eastAsia="Times New Roman" w:hAnsiTheme="minorHAnsi"/>
          <w:sz w:val="24"/>
          <w:szCs w:val="24"/>
        </w:rPr>
        <w:t>The Data Standards Body will also continue to work with the Energy sector in this next period to assess how best to facilitate the application of CDR for the benefit of consumers who wish to utilise their energy data for more tailored opportunities.</w:t>
      </w:r>
    </w:p>
    <w:p w:rsidR="00720791" w:rsidRDefault="00720791">
      <w:pPr>
        <w:spacing w:after="160" w:line="259" w:lineRule="auto"/>
        <w:rPr>
          <w:rFonts w:asciiTheme="minorHAnsi" w:eastAsia="Times New Roman" w:hAnsiTheme="minorHAnsi" w:cstheme="minorHAnsi"/>
          <w:b/>
          <w:bCs/>
          <w:sz w:val="32"/>
          <w:szCs w:val="32"/>
          <w:lang w:eastAsia="en-AU"/>
        </w:rPr>
      </w:pPr>
      <w:r>
        <w:br w:type="page"/>
      </w:r>
    </w:p>
    <w:p w:rsidR="000D5EFA" w:rsidRPr="000D5EFA" w:rsidRDefault="000D5EFA" w:rsidP="006A162C">
      <w:pPr>
        <w:pStyle w:val="Heading2"/>
      </w:pPr>
      <w:r w:rsidRPr="000D5EFA">
        <w:lastRenderedPageBreak/>
        <w:t xml:space="preserve">Providing feedback on the </w:t>
      </w:r>
      <w:r w:rsidR="001515CA">
        <w:t xml:space="preserve">May 2019 </w:t>
      </w:r>
      <w:r w:rsidRPr="000D5EFA">
        <w:t>draft</w:t>
      </w:r>
      <w:r w:rsidR="007C50F7">
        <w:t xml:space="preserve"> update</w:t>
      </w:r>
    </w:p>
    <w:p w:rsidR="000D5EFA" w:rsidRPr="000D5EFA" w:rsidRDefault="000D5EFA" w:rsidP="000D5EFA">
      <w:pPr>
        <w:rPr>
          <w:rFonts w:eastAsia="Times New Roman"/>
          <w:sz w:val="24"/>
          <w:szCs w:val="24"/>
          <w:lang w:eastAsia="en-AU"/>
        </w:rPr>
      </w:pPr>
      <w:r w:rsidRPr="000D5EFA">
        <w:rPr>
          <w:rFonts w:eastAsia="Times New Roman"/>
          <w:color w:val="000000"/>
          <w:sz w:val="24"/>
          <w:szCs w:val="24"/>
          <w:lang w:eastAsia="en-AU"/>
        </w:rPr>
        <w:t xml:space="preserve">We’re aware that </w:t>
      </w:r>
      <w:r w:rsidR="001515CA">
        <w:rPr>
          <w:rFonts w:eastAsia="Times New Roman"/>
          <w:color w:val="000000"/>
          <w:sz w:val="24"/>
          <w:szCs w:val="24"/>
          <w:lang w:eastAsia="en-AU"/>
        </w:rPr>
        <w:t>the May 2019</w:t>
      </w:r>
      <w:r w:rsidRPr="000D5EFA">
        <w:rPr>
          <w:rFonts w:eastAsia="Times New Roman"/>
          <w:color w:val="000000"/>
          <w:sz w:val="24"/>
          <w:szCs w:val="24"/>
          <w:lang w:eastAsia="en-AU"/>
        </w:rPr>
        <w:t xml:space="preserve"> draft covers deliverables across all </w:t>
      </w:r>
      <w:r w:rsidR="001515CA">
        <w:rPr>
          <w:rFonts w:eastAsia="Times New Roman"/>
          <w:color w:val="000000"/>
          <w:sz w:val="24"/>
          <w:szCs w:val="24"/>
          <w:lang w:eastAsia="en-AU"/>
        </w:rPr>
        <w:t>four</w:t>
      </w:r>
      <w:r w:rsidRPr="000D5EFA">
        <w:rPr>
          <w:rFonts w:eastAsia="Times New Roman"/>
          <w:color w:val="000000"/>
          <w:sz w:val="24"/>
          <w:szCs w:val="24"/>
          <w:lang w:eastAsia="en-AU"/>
        </w:rPr>
        <w:t xml:space="preserve"> work streams, with a lot of information for organisations and individuals following our progress to digest. Some stakeholders will only be interested in certain components of the documents, depending on their area of expertise.</w:t>
      </w:r>
    </w:p>
    <w:p w:rsidR="000D5EFA" w:rsidRPr="000D5EFA" w:rsidRDefault="000D5EFA" w:rsidP="000D5EFA">
      <w:pPr>
        <w:rPr>
          <w:rFonts w:eastAsia="Times New Roman"/>
          <w:color w:val="000000"/>
          <w:sz w:val="24"/>
          <w:szCs w:val="24"/>
          <w:lang w:eastAsia="en-AU"/>
        </w:rPr>
      </w:pPr>
    </w:p>
    <w:p w:rsidR="007C50F7" w:rsidRPr="00493F04" w:rsidRDefault="007C50F7" w:rsidP="00720791">
      <w:pPr>
        <w:spacing w:after="120"/>
        <w:rPr>
          <w:rFonts w:eastAsia="Times New Roman"/>
          <w:sz w:val="24"/>
          <w:szCs w:val="24"/>
        </w:rPr>
      </w:pPr>
      <w:r w:rsidRPr="00493F04">
        <w:rPr>
          <w:rFonts w:eastAsia="Times New Roman"/>
          <w:sz w:val="24"/>
          <w:szCs w:val="24"/>
        </w:rPr>
        <w:t xml:space="preserve">Information workshops have been scheduled for June 2019 to assist participants in understanding this updated draft:   </w:t>
      </w:r>
    </w:p>
    <w:p w:rsidR="007C50F7" w:rsidRPr="00720791" w:rsidRDefault="007C50F7" w:rsidP="00720791">
      <w:pPr>
        <w:numPr>
          <w:ilvl w:val="0"/>
          <w:numId w:val="18"/>
        </w:numPr>
        <w:spacing w:after="120" w:line="259" w:lineRule="auto"/>
        <w:textAlignment w:val="baseline"/>
        <w:rPr>
          <w:rFonts w:eastAsia="Times New Roman"/>
          <w:bCs/>
          <w:color w:val="000000"/>
          <w:sz w:val="24"/>
          <w:szCs w:val="24"/>
          <w:lang w:eastAsia="en-AU"/>
        </w:rPr>
      </w:pPr>
      <w:r w:rsidRPr="00720791">
        <w:rPr>
          <w:rFonts w:eastAsia="Times New Roman"/>
          <w:bCs/>
          <w:color w:val="000000"/>
          <w:sz w:val="24"/>
          <w:szCs w:val="24"/>
          <w:lang w:eastAsia="en-AU"/>
        </w:rPr>
        <w:t>CX research workshop: 5 June (Sydney)</w:t>
      </w:r>
      <w:r w:rsidR="00D37CA2" w:rsidRPr="00720791">
        <w:rPr>
          <w:rFonts w:eastAsia="Times New Roman"/>
          <w:bCs/>
          <w:color w:val="000000"/>
          <w:sz w:val="24"/>
          <w:szCs w:val="24"/>
          <w:lang w:eastAsia="en-AU"/>
        </w:rPr>
        <w:t xml:space="preserve"> all day</w:t>
      </w:r>
    </w:p>
    <w:p w:rsidR="007C50F7" w:rsidRPr="00720791" w:rsidRDefault="007C50F7" w:rsidP="00720791">
      <w:pPr>
        <w:numPr>
          <w:ilvl w:val="0"/>
          <w:numId w:val="18"/>
        </w:numPr>
        <w:spacing w:after="120" w:line="259" w:lineRule="auto"/>
        <w:textAlignment w:val="baseline"/>
        <w:rPr>
          <w:rFonts w:eastAsia="Times New Roman"/>
          <w:bCs/>
          <w:color w:val="000000"/>
          <w:sz w:val="24"/>
          <w:szCs w:val="24"/>
          <w:lang w:eastAsia="en-AU"/>
        </w:rPr>
      </w:pPr>
      <w:r w:rsidRPr="00720791">
        <w:rPr>
          <w:rFonts w:eastAsia="Times New Roman"/>
          <w:bCs/>
          <w:color w:val="000000"/>
          <w:sz w:val="24"/>
          <w:szCs w:val="24"/>
          <w:lang w:eastAsia="en-AU"/>
        </w:rPr>
        <w:t>Standards and InfoSec: 13 June (Sydney) and 17 June (Melbourne) mornings</w:t>
      </w:r>
    </w:p>
    <w:p w:rsidR="007C50F7" w:rsidRPr="00720791" w:rsidRDefault="007C50F7" w:rsidP="00720791">
      <w:pPr>
        <w:numPr>
          <w:ilvl w:val="0"/>
          <w:numId w:val="18"/>
        </w:numPr>
        <w:spacing w:after="120" w:line="259" w:lineRule="auto"/>
        <w:textAlignment w:val="baseline"/>
        <w:rPr>
          <w:rFonts w:eastAsia="Times New Roman"/>
          <w:bCs/>
          <w:color w:val="000000"/>
          <w:sz w:val="24"/>
          <w:szCs w:val="24"/>
          <w:lang w:eastAsia="en-AU"/>
        </w:rPr>
      </w:pPr>
      <w:r w:rsidRPr="00720791">
        <w:rPr>
          <w:rFonts w:eastAsia="Times New Roman"/>
          <w:bCs/>
          <w:color w:val="000000"/>
          <w:sz w:val="24"/>
          <w:szCs w:val="24"/>
          <w:lang w:eastAsia="en-AU"/>
        </w:rPr>
        <w:t xml:space="preserve">Engineering: 13 June (Sydney) afternoon </w:t>
      </w:r>
    </w:p>
    <w:p w:rsidR="007C50F7" w:rsidRDefault="007C50F7" w:rsidP="007C50F7">
      <w:pPr>
        <w:rPr>
          <w:rFonts w:eastAsia="Times New Roman"/>
          <w:color w:val="000000"/>
          <w:sz w:val="24"/>
          <w:szCs w:val="24"/>
          <w:lang w:eastAsia="en-AU"/>
        </w:rPr>
      </w:pPr>
    </w:p>
    <w:p w:rsidR="008F13E5" w:rsidRPr="00493F04" w:rsidRDefault="008F13E5" w:rsidP="007C50F7">
      <w:pPr>
        <w:rPr>
          <w:rFonts w:eastAsia="Times New Roman"/>
        </w:rPr>
      </w:pPr>
      <w:r w:rsidRPr="00493F04">
        <w:rPr>
          <w:rFonts w:eastAsia="Times New Roman"/>
          <w:color w:val="000000"/>
          <w:sz w:val="24"/>
          <w:szCs w:val="24"/>
          <w:lang w:eastAsia="en-AU"/>
        </w:rPr>
        <w:t xml:space="preserve">To ensure clarity of feedback on any issues, we request contributors provide feedback within each work stream. We will also accept written submissions and </w:t>
      </w:r>
      <w:r w:rsidR="008911BC" w:rsidRPr="00493F04">
        <w:rPr>
          <w:rFonts w:eastAsia="Times New Roman"/>
          <w:color w:val="000000"/>
          <w:sz w:val="24"/>
          <w:szCs w:val="24"/>
          <w:lang w:eastAsia="en-AU"/>
        </w:rPr>
        <w:t>an extended</w:t>
      </w:r>
      <w:r w:rsidRPr="00493F04">
        <w:rPr>
          <w:rFonts w:eastAsia="Times New Roman"/>
          <w:color w:val="000000"/>
          <w:sz w:val="24"/>
          <w:szCs w:val="24"/>
          <w:lang w:eastAsia="en-AU"/>
        </w:rPr>
        <w:t xml:space="preserve"> feedback </w:t>
      </w:r>
      <w:r w:rsidR="008911BC" w:rsidRPr="00493F04">
        <w:rPr>
          <w:rFonts w:eastAsia="Times New Roman"/>
          <w:color w:val="000000"/>
          <w:sz w:val="24"/>
          <w:szCs w:val="24"/>
          <w:lang w:eastAsia="en-AU"/>
        </w:rPr>
        <w:t>period that closes on</w:t>
      </w:r>
      <w:r w:rsidRPr="00493F04">
        <w:rPr>
          <w:rFonts w:eastAsia="Times New Roman"/>
          <w:color w:val="000000"/>
          <w:sz w:val="24"/>
          <w:szCs w:val="24"/>
          <w:lang w:eastAsia="en-AU"/>
        </w:rPr>
        <w:t xml:space="preserve"> </w:t>
      </w:r>
      <w:r w:rsidRPr="00493F04">
        <w:rPr>
          <w:rFonts w:eastAsia="Times New Roman"/>
          <w:b/>
          <w:bCs/>
          <w:color w:val="000000"/>
          <w:sz w:val="24"/>
          <w:szCs w:val="24"/>
          <w:lang w:eastAsia="en-AU"/>
        </w:rPr>
        <w:t xml:space="preserve">Friday 21 June </w:t>
      </w:r>
      <w:r w:rsidR="008911BC" w:rsidRPr="00493F04">
        <w:rPr>
          <w:rFonts w:eastAsia="Times New Roman"/>
          <w:bCs/>
          <w:color w:val="000000"/>
          <w:sz w:val="24"/>
          <w:szCs w:val="24"/>
          <w:lang w:eastAsia="en-AU"/>
        </w:rPr>
        <w:t>aims</w:t>
      </w:r>
      <w:r w:rsidR="008911BC" w:rsidRPr="00493F04">
        <w:rPr>
          <w:rFonts w:eastAsia="Times New Roman"/>
          <w:b/>
          <w:bCs/>
          <w:color w:val="000000"/>
          <w:sz w:val="24"/>
          <w:szCs w:val="24"/>
          <w:lang w:eastAsia="en-AU"/>
        </w:rPr>
        <w:t xml:space="preserve"> </w:t>
      </w:r>
      <w:r w:rsidRPr="00493F04">
        <w:rPr>
          <w:rFonts w:eastAsia="Times New Roman"/>
          <w:color w:val="000000"/>
          <w:sz w:val="24"/>
          <w:szCs w:val="24"/>
          <w:lang w:eastAsia="en-AU"/>
        </w:rPr>
        <w:t xml:space="preserve">to give </w:t>
      </w:r>
      <w:r w:rsidR="008911BC" w:rsidRPr="00493F04">
        <w:rPr>
          <w:rFonts w:eastAsia="Times New Roman"/>
          <w:color w:val="000000"/>
          <w:sz w:val="24"/>
          <w:szCs w:val="24"/>
          <w:lang w:eastAsia="en-AU"/>
        </w:rPr>
        <w:t>the CDR ecosystem</w:t>
      </w:r>
      <w:r w:rsidRPr="00493F04">
        <w:rPr>
          <w:rFonts w:eastAsia="Times New Roman"/>
          <w:color w:val="000000"/>
          <w:sz w:val="24"/>
          <w:szCs w:val="24"/>
          <w:lang w:eastAsia="en-AU"/>
        </w:rPr>
        <w:t xml:space="preserve"> time to consider the broader application of the standards. </w:t>
      </w:r>
    </w:p>
    <w:p w:rsidR="000D5EFA" w:rsidRPr="000D5EFA" w:rsidRDefault="000D5EFA" w:rsidP="000D5EFA">
      <w:pPr>
        <w:rPr>
          <w:rFonts w:eastAsia="Times New Roman"/>
          <w:sz w:val="24"/>
          <w:szCs w:val="24"/>
          <w:lang w:eastAsia="en-AU"/>
        </w:rPr>
      </w:pPr>
    </w:p>
    <w:p w:rsidR="000D5EFA" w:rsidRPr="000D5EFA" w:rsidRDefault="000D5EFA" w:rsidP="000D5EFA">
      <w:pPr>
        <w:numPr>
          <w:ilvl w:val="0"/>
          <w:numId w:val="18"/>
        </w:numPr>
        <w:spacing w:after="160" w:line="259" w:lineRule="auto"/>
        <w:textAlignment w:val="baseline"/>
        <w:rPr>
          <w:rFonts w:eastAsia="Times New Roman"/>
          <w:b/>
          <w:bCs/>
          <w:color w:val="000000"/>
          <w:sz w:val="24"/>
          <w:szCs w:val="24"/>
          <w:lang w:eastAsia="en-AU"/>
        </w:rPr>
      </w:pPr>
      <w:r w:rsidRPr="000D5EFA">
        <w:rPr>
          <w:rFonts w:eastAsia="Times New Roman"/>
          <w:b/>
          <w:bCs/>
          <w:color w:val="000000"/>
          <w:sz w:val="24"/>
          <w:szCs w:val="24"/>
          <w:lang w:eastAsia="en-AU"/>
        </w:rPr>
        <w:t xml:space="preserve">Comments and queries on the API standards: </w:t>
      </w:r>
      <w:r w:rsidRPr="000D5EFA">
        <w:rPr>
          <w:rFonts w:eastAsia="Times New Roman"/>
          <w:color w:val="000000"/>
          <w:sz w:val="24"/>
          <w:szCs w:val="24"/>
          <w:lang w:eastAsia="en-AU"/>
        </w:rPr>
        <w:t xml:space="preserve">A dedicated GitHub Issue for capturing feedback has been created here: </w:t>
      </w:r>
      <w:hyperlink r:id="rId32" w:history="1">
        <w:r w:rsidR="00FB2EB7">
          <w:rPr>
            <w:rFonts w:eastAsia="Times New Roman"/>
            <w:color w:val="1155CC"/>
            <w:sz w:val="24"/>
            <w:szCs w:val="24"/>
            <w:u w:val="single"/>
            <w:lang w:eastAsia="en-AU"/>
          </w:rPr>
          <w:t>https://github.com/ConsumerDataStandardsAustralia/standards/issues/70</w:t>
        </w:r>
      </w:hyperlink>
      <w:r w:rsidRPr="000D5EFA">
        <w:rPr>
          <w:rFonts w:eastAsia="Times New Roman"/>
          <w:color w:val="000000"/>
          <w:sz w:val="24"/>
          <w:szCs w:val="24"/>
          <w:lang w:eastAsia="en-AU"/>
        </w:rPr>
        <w:t xml:space="preserve"> </w:t>
      </w:r>
    </w:p>
    <w:p w:rsidR="000D5EFA" w:rsidRPr="000D5EFA" w:rsidRDefault="000D5EFA" w:rsidP="000D5EFA">
      <w:pPr>
        <w:numPr>
          <w:ilvl w:val="0"/>
          <w:numId w:val="18"/>
        </w:numPr>
        <w:spacing w:after="160" w:line="259" w:lineRule="auto"/>
        <w:textAlignment w:val="baseline"/>
        <w:rPr>
          <w:rFonts w:eastAsia="Times New Roman"/>
          <w:b/>
          <w:bCs/>
          <w:color w:val="000000"/>
          <w:sz w:val="24"/>
          <w:szCs w:val="24"/>
          <w:lang w:eastAsia="en-AU"/>
        </w:rPr>
      </w:pPr>
      <w:r w:rsidRPr="000D5EFA">
        <w:rPr>
          <w:rFonts w:eastAsia="Times New Roman"/>
          <w:b/>
          <w:bCs/>
          <w:color w:val="000000"/>
          <w:sz w:val="24"/>
          <w:szCs w:val="24"/>
          <w:lang w:eastAsia="en-AU"/>
        </w:rPr>
        <w:t xml:space="preserve">Comments and queries on the information security profile: </w:t>
      </w:r>
      <w:r w:rsidRPr="000D5EFA">
        <w:rPr>
          <w:rFonts w:eastAsia="Times New Roman"/>
          <w:color w:val="000000"/>
          <w:sz w:val="24"/>
          <w:szCs w:val="24"/>
          <w:lang w:eastAsia="en-AU"/>
        </w:rPr>
        <w:t xml:space="preserve">A dedicated GitHub Issue for capturing feedback has been created here: </w:t>
      </w:r>
      <w:hyperlink r:id="rId33" w:history="1">
        <w:r w:rsidR="00020309" w:rsidRPr="00020309">
          <w:rPr>
            <w:rStyle w:val="Hyperlink"/>
            <w:rFonts w:eastAsia="Times New Roman"/>
            <w:sz w:val="24"/>
            <w:szCs w:val="24"/>
            <w:lang w:eastAsia="en-AU"/>
          </w:rPr>
          <w:t>https://github.com/ConsumerDataStandardsAustralia/standards/issues/71</w:t>
        </w:r>
      </w:hyperlink>
    </w:p>
    <w:p w:rsidR="000D5EFA" w:rsidRPr="00313507" w:rsidRDefault="000D5EFA" w:rsidP="000D5EFA">
      <w:pPr>
        <w:numPr>
          <w:ilvl w:val="0"/>
          <w:numId w:val="18"/>
        </w:numPr>
        <w:spacing w:after="160" w:line="259" w:lineRule="auto"/>
        <w:textAlignment w:val="baseline"/>
        <w:rPr>
          <w:rFonts w:eastAsia="Times New Roman"/>
          <w:b/>
          <w:bCs/>
          <w:color w:val="000000"/>
          <w:sz w:val="24"/>
          <w:szCs w:val="24"/>
          <w:lang w:eastAsia="en-AU"/>
        </w:rPr>
      </w:pPr>
      <w:r w:rsidRPr="000D5EFA">
        <w:rPr>
          <w:rFonts w:eastAsia="Times New Roman"/>
          <w:b/>
          <w:bCs/>
          <w:color w:val="000000"/>
          <w:sz w:val="24"/>
          <w:szCs w:val="24"/>
          <w:lang w:eastAsia="en-AU"/>
        </w:rPr>
        <w:t xml:space="preserve">Comments and queries on the CX </w:t>
      </w:r>
      <w:r w:rsidR="005B5314">
        <w:rPr>
          <w:rFonts w:eastAsia="Times New Roman"/>
          <w:b/>
          <w:bCs/>
          <w:color w:val="000000"/>
          <w:sz w:val="24"/>
          <w:szCs w:val="24"/>
          <w:lang w:eastAsia="en-AU"/>
        </w:rPr>
        <w:t>artefacts, findings, and recommendations</w:t>
      </w:r>
      <w:r w:rsidR="008F13E5">
        <w:rPr>
          <w:rFonts w:eastAsia="Times New Roman"/>
          <w:b/>
          <w:bCs/>
          <w:color w:val="000000"/>
          <w:sz w:val="24"/>
          <w:szCs w:val="24"/>
          <w:lang w:eastAsia="en-AU"/>
        </w:rPr>
        <w:t xml:space="preserve"> can be provided as written submissions emailed to: </w:t>
      </w:r>
      <w:r w:rsidR="008F13E5" w:rsidRPr="00527EB3">
        <w:rPr>
          <w:rFonts w:asciiTheme="minorHAnsi" w:eastAsia="Times New Roman" w:hAnsiTheme="minorHAnsi" w:cstheme="minorHAnsi"/>
          <w:sz w:val="24"/>
          <w:szCs w:val="24"/>
        </w:rPr>
        <w:t>CDR email address</w:t>
      </w:r>
      <w:r w:rsidR="009B3000">
        <w:rPr>
          <w:rFonts w:asciiTheme="minorHAnsi" w:eastAsia="Times New Roman" w:hAnsiTheme="minorHAnsi" w:cstheme="minorHAnsi"/>
          <w:sz w:val="24"/>
          <w:szCs w:val="24"/>
        </w:rPr>
        <w:t>:</w:t>
      </w:r>
      <w:r w:rsidR="009B3000">
        <w:t xml:space="preserve"> </w:t>
      </w:r>
      <w:hyperlink r:id="rId34" w:history="1">
        <w:r w:rsidR="009B3000" w:rsidRPr="005E0248">
          <w:rPr>
            <w:rFonts w:eastAsia="Times New Roman"/>
            <w:color w:val="0563C1"/>
            <w:sz w:val="24"/>
            <w:szCs w:val="24"/>
            <w:u w:val="single"/>
            <w:lang w:eastAsia="en-AU"/>
          </w:rPr>
          <w:t>cdr-data61@csiro.au</w:t>
        </w:r>
      </w:hyperlink>
      <w:r w:rsidR="008F13E5" w:rsidRPr="005E0248">
        <w:rPr>
          <w:rFonts w:asciiTheme="minorHAnsi" w:eastAsia="Times New Roman" w:hAnsiTheme="minorHAnsi" w:cstheme="minorHAnsi"/>
          <w:sz w:val="24"/>
          <w:szCs w:val="24"/>
        </w:rPr>
        <w:t xml:space="preserve"> </w:t>
      </w:r>
    </w:p>
    <w:p w:rsidR="005408EC" w:rsidRPr="006A162C" w:rsidRDefault="00D12835" w:rsidP="005E1E48">
      <w:pPr>
        <w:pStyle w:val="ListParagraph"/>
        <w:numPr>
          <w:ilvl w:val="0"/>
          <w:numId w:val="18"/>
        </w:numPr>
      </w:pPr>
      <w:r w:rsidRPr="006A162C">
        <w:rPr>
          <w:rFonts w:eastAsia="Times New Roman"/>
          <w:b/>
          <w:bCs/>
          <w:color w:val="000000"/>
          <w:sz w:val="24"/>
          <w:szCs w:val="24"/>
          <w:lang w:eastAsia="en-AU"/>
        </w:rPr>
        <w:t xml:space="preserve">Comments and queries on the Engineering artefacts: </w:t>
      </w:r>
      <w:r w:rsidR="005408EC">
        <w:rPr>
          <w:rFonts w:eastAsia="Times New Roman"/>
          <w:color w:val="000000"/>
          <w:sz w:val="24"/>
          <w:szCs w:val="24"/>
        </w:rPr>
        <w:t>feedback can be provided through the existing Engineering GitHub Issues page noted here:</w:t>
      </w:r>
    </w:p>
    <w:p w:rsidR="005E1E48" w:rsidRPr="005E0248" w:rsidRDefault="00417338" w:rsidP="006A162C">
      <w:pPr>
        <w:pStyle w:val="ListParagraph"/>
        <w:numPr>
          <w:ilvl w:val="0"/>
          <w:numId w:val="18"/>
        </w:numPr>
      </w:pPr>
      <w:hyperlink r:id="rId35" w:history="1">
        <w:r w:rsidR="005E1E48" w:rsidRPr="006A162C">
          <w:rPr>
            <w:rStyle w:val="Hyperlink"/>
            <w:sz w:val="24"/>
            <w:szCs w:val="24"/>
          </w:rPr>
          <w:t>https://github.com/ConsumerDataStandardsAustralia/engineering/issues/41</w:t>
        </w:r>
      </w:hyperlink>
    </w:p>
    <w:p w:rsidR="00D12835" w:rsidRPr="000D5EFA" w:rsidRDefault="00D12835" w:rsidP="006A162C">
      <w:pPr>
        <w:rPr>
          <w:rFonts w:eastAsia="Times New Roman"/>
          <w:b/>
          <w:bCs/>
          <w:color w:val="000000"/>
          <w:sz w:val="24"/>
          <w:szCs w:val="24"/>
          <w:lang w:eastAsia="en-AU"/>
        </w:rPr>
      </w:pPr>
    </w:p>
    <w:p w:rsidR="00D12835" w:rsidRPr="00313507" w:rsidRDefault="00D12835" w:rsidP="00313507">
      <w:pPr>
        <w:ind w:left="360"/>
        <w:rPr>
          <w:rFonts w:asciiTheme="minorHAnsi" w:eastAsia="Times New Roman" w:hAnsiTheme="minorHAnsi" w:cstheme="minorHAnsi"/>
          <w:sz w:val="24"/>
          <w:szCs w:val="24"/>
        </w:rPr>
      </w:pPr>
      <w:r w:rsidRPr="00313507">
        <w:rPr>
          <w:rFonts w:asciiTheme="minorHAnsi" w:eastAsia="Times New Roman" w:hAnsiTheme="minorHAnsi" w:cstheme="minorHAnsi"/>
          <w:sz w:val="24"/>
          <w:szCs w:val="24"/>
        </w:rPr>
        <w:t>We will also receive written submissions on this update on the basis that such submissions will be published subsequently.</w:t>
      </w:r>
      <w:r w:rsidR="005408EC">
        <w:rPr>
          <w:rFonts w:asciiTheme="minorHAnsi" w:eastAsia="Times New Roman" w:hAnsiTheme="minorHAnsi" w:cstheme="minorHAnsi"/>
          <w:sz w:val="24"/>
          <w:szCs w:val="24"/>
        </w:rPr>
        <w:t xml:space="preserve"> In accordance with our normal transparency policy all submissions will be made public.</w:t>
      </w:r>
    </w:p>
    <w:p w:rsidR="00D12835" w:rsidRPr="00313507" w:rsidRDefault="00D12835" w:rsidP="00313507">
      <w:pPr>
        <w:ind w:left="360"/>
        <w:rPr>
          <w:rFonts w:asciiTheme="minorHAnsi" w:eastAsia="Times New Roman" w:hAnsiTheme="minorHAnsi" w:cstheme="minorHAnsi"/>
          <w:sz w:val="24"/>
          <w:szCs w:val="24"/>
        </w:rPr>
      </w:pPr>
    </w:p>
    <w:p w:rsidR="00D12835" w:rsidRPr="00313507" w:rsidRDefault="00D12835" w:rsidP="00313507">
      <w:pPr>
        <w:ind w:left="360"/>
        <w:rPr>
          <w:rFonts w:asciiTheme="minorHAnsi" w:eastAsia="Times New Roman" w:hAnsiTheme="minorHAnsi" w:cstheme="minorHAnsi"/>
          <w:sz w:val="24"/>
          <w:szCs w:val="24"/>
        </w:rPr>
      </w:pPr>
      <w:r w:rsidRPr="00313507">
        <w:rPr>
          <w:rFonts w:asciiTheme="minorHAnsi" w:eastAsia="Times New Roman" w:hAnsiTheme="minorHAnsi" w:cstheme="minorHAnsi"/>
          <w:sz w:val="24"/>
          <w:szCs w:val="24"/>
        </w:rPr>
        <w:t xml:space="preserve">Where participants believe they have sensitive information to convey we will consider those discussions and give guidance on our preferred disclosure </w:t>
      </w:r>
      <w:r w:rsidR="005408EC">
        <w:rPr>
          <w:rFonts w:asciiTheme="minorHAnsi" w:eastAsia="Times New Roman" w:hAnsiTheme="minorHAnsi" w:cstheme="minorHAnsi"/>
          <w:sz w:val="24"/>
          <w:szCs w:val="24"/>
        </w:rPr>
        <w:t xml:space="preserve">approach </w:t>
      </w:r>
      <w:r w:rsidRPr="00313507">
        <w:rPr>
          <w:rFonts w:asciiTheme="minorHAnsi" w:eastAsia="Times New Roman" w:hAnsiTheme="minorHAnsi" w:cstheme="minorHAnsi"/>
          <w:sz w:val="24"/>
          <w:szCs w:val="24"/>
        </w:rPr>
        <w:t>prior to meeting to discuss such issues. To discuss such issues please email us at the CDR email address</w:t>
      </w:r>
      <w:r w:rsidR="009B3000">
        <w:rPr>
          <w:rFonts w:asciiTheme="minorHAnsi" w:eastAsia="Times New Roman" w:hAnsiTheme="minorHAnsi" w:cstheme="minorHAnsi"/>
          <w:sz w:val="24"/>
          <w:szCs w:val="24"/>
        </w:rPr>
        <w:t xml:space="preserve">: </w:t>
      </w:r>
      <w:hyperlink r:id="rId36" w:history="1">
        <w:r w:rsidR="009B3000" w:rsidRPr="005E0248">
          <w:rPr>
            <w:rFonts w:eastAsia="Times New Roman"/>
            <w:color w:val="0563C1"/>
            <w:sz w:val="24"/>
            <w:szCs w:val="24"/>
            <w:u w:val="single"/>
            <w:lang w:eastAsia="en-AU"/>
          </w:rPr>
          <w:t>cdr-data61@csiro.au</w:t>
        </w:r>
      </w:hyperlink>
      <w:r w:rsidRPr="005E0248">
        <w:rPr>
          <w:rFonts w:asciiTheme="minorHAnsi" w:eastAsia="Times New Roman" w:hAnsiTheme="minorHAnsi" w:cstheme="minorHAnsi"/>
          <w:sz w:val="24"/>
          <w:szCs w:val="24"/>
        </w:rPr>
        <w:t xml:space="preserve"> </w:t>
      </w:r>
    </w:p>
    <w:p w:rsidR="000D5EFA" w:rsidRPr="007879C8" w:rsidRDefault="000D5EFA" w:rsidP="007E5299">
      <w:pPr>
        <w:rPr>
          <w:rFonts w:ascii="Times New Roman" w:eastAsia="Times New Roman" w:hAnsi="Times New Roman"/>
          <w:szCs w:val="24"/>
        </w:rPr>
      </w:pPr>
    </w:p>
    <w:sectPr w:rsidR="000D5EFA" w:rsidRPr="007879C8" w:rsidSect="00F45FF7">
      <w:headerReference w:type="default" r:id="rId37"/>
      <w:pgSz w:w="11906" w:h="16838"/>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04C" w:rsidRDefault="0056204C" w:rsidP="00853A5F">
      <w:r>
        <w:separator/>
      </w:r>
    </w:p>
  </w:endnote>
  <w:endnote w:type="continuationSeparator" w:id="0">
    <w:p w:rsidR="0056204C" w:rsidRDefault="0056204C" w:rsidP="00853A5F">
      <w:r>
        <w:continuationSeparator/>
      </w:r>
    </w:p>
  </w:endnote>
  <w:endnote w:type="continuationNotice" w:id="1">
    <w:p w:rsidR="0056204C" w:rsidRDefault="00562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98" w:rsidRDefault="00B04A98" w:rsidP="00B04A98">
    <w:pPr>
      <w:tabs>
        <w:tab w:val="center" w:pos="4550"/>
        <w:tab w:val="left" w:pos="5818"/>
      </w:tabs>
      <w:ind w:right="260"/>
      <w:jc w:val="right"/>
    </w:pPr>
    <w:r w:rsidRPr="00B04A98">
      <w:rPr>
        <w:spacing w:val="60"/>
        <w:sz w:val="16"/>
        <w:szCs w:val="16"/>
      </w:rPr>
      <w:t>Page</w:t>
    </w:r>
    <w:r w:rsidRPr="00B04A98">
      <w:rPr>
        <w:sz w:val="16"/>
        <w:szCs w:val="16"/>
      </w:rPr>
      <w:t xml:space="preserve"> </w:t>
    </w:r>
    <w:r w:rsidRPr="00B04A98">
      <w:rPr>
        <w:sz w:val="16"/>
        <w:szCs w:val="16"/>
      </w:rPr>
      <w:fldChar w:fldCharType="begin"/>
    </w:r>
    <w:r w:rsidRPr="00B04A98">
      <w:rPr>
        <w:sz w:val="16"/>
        <w:szCs w:val="16"/>
      </w:rPr>
      <w:instrText xml:space="preserve"> PAGE   \* MERGEFORMAT </w:instrText>
    </w:r>
    <w:r w:rsidRPr="00B04A98">
      <w:rPr>
        <w:sz w:val="16"/>
        <w:szCs w:val="16"/>
      </w:rPr>
      <w:fldChar w:fldCharType="separate"/>
    </w:r>
    <w:r w:rsidRPr="00B04A98">
      <w:rPr>
        <w:noProof/>
        <w:sz w:val="16"/>
        <w:szCs w:val="16"/>
      </w:rPr>
      <w:t>1</w:t>
    </w:r>
    <w:r w:rsidRPr="00B04A98">
      <w:rPr>
        <w:sz w:val="16"/>
        <w:szCs w:val="16"/>
      </w:rPr>
      <w:fldChar w:fldCharType="end"/>
    </w:r>
    <w:r w:rsidRPr="00B04A98">
      <w:rPr>
        <w:sz w:val="16"/>
        <w:szCs w:val="16"/>
      </w:rPr>
      <w:t xml:space="preserve"> | </w:t>
    </w:r>
    <w:r w:rsidRPr="00B04A98">
      <w:rPr>
        <w:sz w:val="16"/>
        <w:szCs w:val="16"/>
      </w:rPr>
      <w:fldChar w:fldCharType="begin"/>
    </w:r>
    <w:r w:rsidRPr="00B04A98">
      <w:rPr>
        <w:sz w:val="16"/>
        <w:szCs w:val="16"/>
      </w:rPr>
      <w:instrText xml:space="preserve"> NUMPAGES  \* Arabic  \* MERGEFORMAT </w:instrText>
    </w:r>
    <w:r w:rsidRPr="00B04A98">
      <w:rPr>
        <w:sz w:val="16"/>
        <w:szCs w:val="16"/>
      </w:rPr>
      <w:fldChar w:fldCharType="separate"/>
    </w:r>
    <w:r w:rsidRPr="00B04A98">
      <w:rPr>
        <w:noProof/>
        <w:sz w:val="16"/>
        <w:szCs w:val="16"/>
      </w:rPr>
      <w:t>1</w:t>
    </w:r>
    <w:r w:rsidRPr="00B04A9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04C" w:rsidRDefault="0056204C" w:rsidP="00853A5F">
      <w:r>
        <w:separator/>
      </w:r>
    </w:p>
  </w:footnote>
  <w:footnote w:type="continuationSeparator" w:id="0">
    <w:p w:rsidR="0056204C" w:rsidRDefault="0056204C" w:rsidP="00853A5F">
      <w:r>
        <w:continuationSeparator/>
      </w:r>
    </w:p>
  </w:footnote>
  <w:footnote w:type="continuationNotice" w:id="1">
    <w:p w:rsidR="0056204C" w:rsidRDefault="00562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A7" w:rsidRDefault="00A063A7" w:rsidP="00C95840">
    <w:pPr>
      <w:pStyle w:val="Header"/>
    </w:pPr>
    <w:r>
      <w:rPr>
        <w:noProof/>
        <w:lang w:val="en-US"/>
      </w:rPr>
      <mc:AlternateContent>
        <mc:Choice Requires="wps">
          <w:drawing>
            <wp:anchor distT="0" distB="0" distL="118745" distR="118745" simplePos="0" relativeHeight="251659264" behindDoc="1" locked="0" layoutInCell="1" allowOverlap="0" wp14:anchorId="67A4EEEA" wp14:editId="45364CAB">
              <wp:simplePos x="0" y="0"/>
              <wp:positionH relativeFrom="margin">
                <wp:posOffset>-450850</wp:posOffset>
              </wp:positionH>
              <wp:positionV relativeFrom="page">
                <wp:posOffset>62865</wp:posOffset>
              </wp:positionV>
              <wp:extent cx="7377430" cy="615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77430"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54D8623D" wp14:editId="0C3DA2CB">
                                <wp:extent cx="829945" cy="5118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A4EEEA" id="Rectangle 197" o:spid="_x0000_s1026" style="position:absolute;margin-left:-35.5pt;margin-top:4.95pt;width:580.9pt;height:4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" o:allowoverlap="f" fillcolor="#2fb787" stroked="f" strokeweight="1pt">
              <v:textbo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54D8623D" wp14:editId="0C3DA2CB">
                          <wp:extent cx="829945" cy="5118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2">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p w:rsidR="00A063A7" w:rsidRDefault="00A063A7" w:rsidP="00C9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A7" w:rsidRDefault="00A063A7" w:rsidP="006F2B1F">
    <w:pPr>
      <w:pStyle w:val="Header"/>
    </w:pPr>
    <w:r>
      <w:rPr>
        <w:noProof/>
        <w:lang w:val="en-US"/>
      </w:rPr>
      <mc:AlternateContent>
        <mc:Choice Requires="wps">
          <w:drawing>
            <wp:anchor distT="0" distB="0" distL="118745" distR="118745" simplePos="0" relativeHeight="251661312" behindDoc="1" locked="0" layoutInCell="1" allowOverlap="0" wp14:anchorId="4F2E9BCF" wp14:editId="26648E49">
              <wp:simplePos x="0" y="0"/>
              <wp:positionH relativeFrom="margin">
                <wp:posOffset>-220345</wp:posOffset>
              </wp:positionH>
              <wp:positionV relativeFrom="page">
                <wp:posOffset>63500</wp:posOffset>
              </wp:positionV>
              <wp:extent cx="10337800" cy="615950"/>
              <wp:effectExtent l="0" t="0" r="6350" b="0"/>
              <wp:wrapSquare wrapText="bothSides"/>
              <wp:docPr id="1" name="Rectangle 1"/>
              <wp:cNvGraphicFramePr/>
              <a:graphic xmlns:a="http://schemas.openxmlformats.org/drawingml/2006/main">
                <a:graphicData uri="http://schemas.microsoft.com/office/word/2010/wordprocessingShape">
                  <wps:wsp>
                    <wps:cNvSpPr/>
                    <wps:spPr>
                      <a:xfrm>
                        <a:off x="0" y="0"/>
                        <a:ext cx="10337800"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E85EF8E" wp14:editId="4343C5E5">
                                <wp:extent cx="829945" cy="5118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2E9BCF" id="Rectangle 1" o:spid="_x0000_s1027" style="position:absolute;margin-left:-17.35pt;margin-top:5pt;width:814pt;height:48.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" o:allowoverlap="f" fillcolor="#2fb787" stroked="f" strokeweight="1pt">
              <v:textbo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E85EF8E" wp14:editId="4343C5E5">
                          <wp:extent cx="829945" cy="5118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2">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A7" w:rsidRDefault="00A063A7" w:rsidP="006F2B1F">
    <w:pPr>
      <w:pStyle w:val="Header"/>
    </w:pPr>
    <w:r>
      <w:rPr>
        <w:noProof/>
        <w:lang w:val="en-US"/>
      </w:rPr>
      <mc:AlternateContent>
        <mc:Choice Requires="wps">
          <w:drawing>
            <wp:anchor distT="0" distB="0" distL="118745" distR="118745" simplePos="0" relativeHeight="251663360" behindDoc="1" locked="0" layoutInCell="1" allowOverlap="0" wp14:anchorId="5ACC4A54" wp14:editId="329D3D5A">
              <wp:simplePos x="0" y="0"/>
              <wp:positionH relativeFrom="margin">
                <wp:posOffset>-327025</wp:posOffset>
              </wp:positionH>
              <wp:positionV relativeFrom="page">
                <wp:posOffset>106680</wp:posOffset>
              </wp:positionV>
              <wp:extent cx="7208520" cy="6159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208520"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1F5594AE" wp14:editId="3135ABA8">
                                <wp:extent cx="829945" cy="51181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CC4A54" id="Rectangle 4" o:spid="_x0000_s1028" style="position:absolute;margin-left:-25.75pt;margin-top:8.4pt;width:567.6pt;height:48.5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" o:allowoverlap="f" fillcolor="#2fb787" stroked="f" strokeweight="1pt">
              <v:textbox>
                <w:txbxContent>
                  <w:p w:rsidR="00A063A7" w:rsidRPr="000E0483" w:rsidRDefault="00A063A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1F5594AE" wp14:editId="3135ABA8">
                          <wp:extent cx="829945" cy="51181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2">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975"/>
    <w:multiLevelType w:val="multilevel"/>
    <w:tmpl w:val="DBB2B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6C4EC5"/>
    <w:multiLevelType w:val="multilevel"/>
    <w:tmpl w:val="484A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5498"/>
    <w:multiLevelType w:val="hybridMultilevel"/>
    <w:tmpl w:val="4B84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7597"/>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453AF"/>
    <w:multiLevelType w:val="hybridMultilevel"/>
    <w:tmpl w:val="40600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FD0D6F"/>
    <w:multiLevelType w:val="multilevel"/>
    <w:tmpl w:val="24205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321A6B"/>
    <w:multiLevelType w:val="multilevel"/>
    <w:tmpl w:val="844CF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B85E54"/>
    <w:multiLevelType w:val="multilevel"/>
    <w:tmpl w:val="20000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E5D7B"/>
    <w:multiLevelType w:val="multilevel"/>
    <w:tmpl w:val="DFF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E0E1D"/>
    <w:multiLevelType w:val="hybridMultilevel"/>
    <w:tmpl w:val="3EDE4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66665"/>
    <w:multiLevelType w:val="hybridMultilevel"/>
    <w:tmpl w:val="B4CCA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5165D8"/>
    <w:multiLevelType w:val="multilevel"/>
    <w:tmpl w:val="58E4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numFmt w:val="bullet"/>
      <w:lvlText w:val="-"/>
      <w:lvlJc w:val="left"/>
      <w:pPr>
        <w:ind w:left="2160" w:hanging="360"/>
      </w:pPr>
      <w:rPr>
        <w:rFonts w:ascii="Calibri" w:eastAsia="Times New Roman" w:hAnsi="Calibri" w:cs="Calibr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913B7"/>
    <w:multiLevelType w:val="multilevel"/>
    <w:tmpl w:val="056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2471D"/>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3B3897"/>
    <w:multiLevelType w:val="multilevel"/>
    <w:tmpl w:val="937455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540D00"/>
    <w:multiLevelType w:val="hybridMultilevel"/>
    <w:tmpl w:val="1AC20B22"/>
    <w:lvl w:ilvl="0" w:tplc="CDB2D3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06009FA"/>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637D1B"/>
    <w:multiLevelType w:val="multilevel"/>
    <w:tmpl w:val="982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B099B"/>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39225F"/>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D4436F"/>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FA3FA9"/>
    <w:multiLevelType w:val="hybridMultilevel"/>
    <w:tmpl w:val="02B67A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1971D0"/>
    <w:multiLevelType w:val="multilevel"/>
    <w:tmpl w:val="0BC0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22FB5"/>
    <w:multiLevelType w:val="multilevel"/>
    <w:tmpl w:val="BF3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924B0"/>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CA0D7B"/>
    <w:multiLevelType w:val="hybridMultilevel"/>
    <w:tmpl w:val="B52CCDF2"/>
    <w:lvl w:ilvl="0" w:tplc="C598F850">
      <w:numFmt w:val="bullet"/>
      <w:pStyle w:val="List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CC6B62"/>
    <w:multiLevelType w:val="hybridMultilevel"/>
    <w:tmpl w:val="E1F28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C836DF"/>
    <w:multiLevelType w:val="hybridMultilevel"/>
    <w:tmpl w:val="7218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75C20"/>
    <w:multiLevelType w:val="hybridMultilevel"/>
    <w:tmpl w:val="EC74CAB0"/>
    <w:lvl w:ilvl="0" w:tplc="77C4FA80">
      <w:start w:val="1"/>
      <w:numFmt w:val="bullet"/>
      <w:lvlText w:val="•"/>
      <w:lvlJc w:val="left"/>
      <w:pPr>
        <w:tabs>
          <w:tab w:val="num" w:pos="720"/>
        </w:tabs>
        <w:ind w:left="720" w:hanging="360"/>
      </w:pPr>
      <w:rPr>
        <w:rFonts w:ascii="Arial" w:hAnsi="Arial" w:cs="Times New Roman" w:hint="default"/>
      </w:rPr>
    </w:lvl>
    <w:lvl w:ilvl="1" w:tplc="C5C24644">
      <w:start w:val="690"/>
      <w:numFmt w:val="bullet"/>
      <w:lvlText w:val="•"/>
      <w:lvlJc w:val="left"/>
      <w:pPr>
        <w:tabs>
          <w:tab w:val="num" w:pos="1440"/>
        </w:tabs>
        <w:ind w:left="1440" w:hanging="360"/>
      </w:pPr>
      <w:rPr>
        <w:rFonts w:ascii="Arial" w:hAnsi="Arial" w:cs="Times New Roman" w:hint="default"/>
      </w:rPr>
    </w:lvl>
    <w:lvl w:ilvl="2" w:tplc="EA464226">
      <w:start w:val="1"/>
      <w:numFmt w:val="bullet"/>
      <w:lvlText w:val="•"/>
      <w:lvlJc w:val="left"/>
      <w:pPr>
        <w:tabs>
          <w:tab w:val="num" w:pos="2160"/>
        </w:tabs>
        <w:ind w:left="2160" w:hanging="360"/>
      </w:pPr>
      <w:rPr>
        <w:rFonts w:ascii="Arial" w:hAnsi="Arial" w:cs="Times New Roman" w:hint="default"/>
      </w:rPr>
    </w:lvl>
    <w:lvl w:ilvl="3" w:tplc="1E7842BC">
      <w:start w:val="1"/>
      <w:numFmt w:val="bullet"/>
      <w:lvlText w:val="•"/>
      <w:lvlJc w:val="left"/>
      <w:pPr>
        <w:tabs>
          <w:tab w:val="num" w:pos="2880"/>
        </w:tabs>
        <w:ind w:left="2880" w:hanging="360"/>
      </w:pPr>
      <w:rPr>
        <w:rFonts w:ascii="Arial" w:hAnsi="Arial" w:cs="Times New Roman" w:hint="default"/>
      </w:rPr>
    </w:lvl>
    <w:lvl w:ilvl="4" w:tplc="94506812">
      <w:start w:val="1"/>
      <w:numFmt w:val="bullet"/>
      <w:lvlText w:val="•"/>
      <w:lvlJc w:val="left"/>
      <w:pPr>
        <w:tabs>
          <w:tab w:val="num" w:pos="3600"/>
        </w:tabs>
        <w:ind w:left="3600" w:hanging="360"/>
      </w:pPr>
      <w:rPr>
        <w:rFonts w:ascii="Arial" w:hAnsi="Arial" w:cs="Times New Roman" w:hint="default"/>
      </w:rPr>
    </w:lvl>
    <w:lvl w:ilvl="5" w:tplc="F3B87AEC">
      <w:start w:val="1"/>
      <w:numFmt w:val="bullet"/>
      <w:lvlText w:val="•"/>
      <w:lvlJc w:val="left"/>
      <w:pPr>
        <w:tabs>
          <w:tab w:val="num" w:pos="4320"/>
        </w:tabs>
        <w:ind w:left="4320" w:hanging="360"/>
      </w:pPr>
      <w:rPr>
        <w:rFonts w:ascii="Arial" w:hAnsi="Arial" w:cs="Times New Roman" w:hint="default"/>
      </w:rPr>
    </w:lvl>
    <w:lvl w:ilvl="6" w:tplc="4A609B6A">
      <w:start w:val="1"/>
      <w:numFmt w:val="bullet"/>
      <w:lvlText w:val="•"/>
      <w:lvlJc w:val="left"/>
      <w:pPr>
        <w:tabs>
          <w:tab w:val="num" w:pos="5040"/>
        </w:tabs>
        <w:ind w:left="5040" w:hanging="360"/>
      </w:pPr>
      <w:rPr>
        <w:rFonts w:ascii="Arial" w:hAnsi="Arial" w:cs="Times New Roman" w:hint="default"/>
      </w:rPr>
    </w:lvl>
    <w:lvl w:ilvl="7" w:tplc="B81C943A">
      <w:start w:val="1"/>
      <w:numFmt w:val="bullet"/>
      <w:lvlText w:val="•"/>
      <w:lvlJc w:val="left"/>
      <w:pPr>
        <w:tabs>
          <w:tab w:val="num" w:pos="5760"/>
        </w:tabs>
        <w:ind w:left="5760" w:hanging="360"/>
      </w:pPr>
      <w:rPr>
        <w:rFonts w:ascii="Arial" w:hAnsi="Arial" w:cs="Times New Roman" w:hint="default"/>
      </w:rPr>
    </w:lvl>
    <w:lvl w:ilvl="8" w:tplc="E9F60776">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7A54EBB"/>
    <w:multiLevelType w:val="multilevel"/>
    <w:tmpl w:val="69265A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404154"/>
    <w:multiLevelType w:val="hybridMultilevel"/>
    <w:tmpl w:val="E942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23ABB"/>
    <w:multiLevelType w:val="hybridMultilevel"/>
    <w:tmpl w:val="B5BC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2"/>
  </w:num>
  <w:num w:numId="3">
    <w:abstractNumId w:val="3"/>
  </w:num>
  <w:num w:numId="4">
    <w:abstractNumId w:val="18"/>
  </w:num>
  <w:num w:numId="5">
    <w:abstractNumId w:val="13"/>
  </w:num>
  <w:num w:numId="6">
    <w:abstractNumId w:val="26"/>
  </w:num>
  <w:num w:numId="7">
    <w:abstractNumId w:val="20"/>
  </w:num>
  <w:num w:numId="8">
    <w:abstractNumId w:val="19"/>
  </w:num>
  <w:num w:numId="9">
    <w:abstractNumId w:val="24"/>
  </w:num>
  <w:num w:numId="10">
    <w:abstractNumId w:val="16"/>
  </w:num>
  <w:num w:numId="11">
    <w:abstractNumId w:val="15"/>
  </w:num>
  <w:num w:numId="12">
    <w:abstractNumId w:val="1"/>
  </w:num>
  <w:num w:numId="13">
    <w:abstractNumId w:val="11"/>
  </w:num>
  <w:num w:numId="14">
    <w:abstractNumId w:val="23"/>
  </w:num>
  <w:num w:numId="15">
    <w:abstractNumId w:val="9"/>
  </w:num>
  <w:num w:numId="16">
    <w:abstractNumId w:val="21"/>
  </w:num>
  <w:num w:numId="17">
    <w:abstractNumId w:val="8"/>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30"/>
  </w:num>
  <w:num w:numId="23">
    <w:abstractNumId w:val="27"/>
  </w:num>
  <w:num w:numId="24">
    <w:abstractNumId w:val="25"/>
  </w:num>
  <w:num w:numId="25">
    <w:abstractNumId w:val="32"/>
  </w:num>
  <w:num w:numId="26">
    <w:abstractNumId w:val="5"/>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99"/>
    <w:rsid w:val="000016E0"/>
    <w:rsid w:val="00003F8C"/>
    <w:rsid w:val="00020309"/>
    <w:rsid w:val="0002069D"/>
    <w:rsid w:val="00025563"/>
    <w:rsid w:val="00037B07"/>
    <w:rsid w:val="0004465E"/>
    <w:rsid w:val="000727C7"/>
    <w:rsid w:val="00075D0C"/>
    <w:rsid w:val="00082C67"/>
    <w:rsid w:val="00087308"/>
    <w:rsid w:val="00087B4B"/>
    <w:rsid w:val="00090A99"/>
    <w:rsid w:val="000A7472"/>
    <w:rsid w:val="000B15D4"/>
    <w:rsid w:val="000B17E9"/>
    <w:rsid w:val="000C17D8"/>
    <w:rsid w:val="000C3F26"/>
    <w:rsid w:val="000D5C9C"/>
    <w:rsid w:val="000D5EFA"/>
    <w:rsid w:val="000E0483"/>
    <w:rsid w:val="000E0E4E"/>
    <w:rsid w:val="000E2A73"/>
    <w:rsid w:val="00100A4C"/>
    <w:rsid w:val="00123E39"/>
    <w:rsid w:val="001308C4"/>
    <w:rsid w:val="001313E6"/>
    <w:rsid w:val="00151209"/>
    <w:rsid w:val="001515CA"/>
    <w:rsid w:val="001549F4"/>
    <w:rsid w:val="0016008F"/>
    <w:rsid w:val="00175A05"/>
    <w:rsid w:val="00180ADD"/>
    <w:rsid w:val="00190901"/>
    <w:rsid w:val="00195C9C"/>
    <w:rsid w:val="001A29FD"/>
    <w:rsid w:val="001A591A"/>
    <w:rsid w:val="001B50B3"/>
    <w:rsid w:val="001B7E30"/>
    <w:rsid w:val="001D032C"/>
    <w:rsid w:val="001F0873"/>
    <w:rsid w:val="001F70AE"/>
    <w:rsid w:val="00210BE5"/>
    <w:rsid w:val="00217CA1"/>
    <w:rsid w:val="00230C59"/>
    <w:rsid w:val="0023349D"/>
    <w:rsid w:val="00277807"/>
    <w:rsid w:val="00286916"/>
    <w:rsid w:val="002944EA"/>
    <w:rsid w:val="002A23BE"/>
    <w:rsid w:val="002C3658"/>
    <w:rsid w:val="002C7272"/>
    <w:rsid w:val="002D6E6B"/>
    <w:rsid w:val="003071CC"/>
    <w:rsid w:val="00307EF3"/>
    <w:rsid w:val="003108FF"/>
    <w:rsid w:val="00311447"/>
    <w:rsid w:val="00313507"/>
    <w:rsid w:val="00320971"/>
    <w:rsid w:val="003275DA"/>
    <w:rsid w:val="00330755"/>
    <w:rsid w:val="003342C3"/>
    <w:rsid w:val="00337AB6"/>
    <w:rsid w:val="003407DD"/>
    <w:rsid w:val="00352471"/>
    <w:rsid w:val="00360245"/>
    <w:rsid w:val="0036127A"/>
    <w:rsid w:val="00371864"/>
    <w:rsid w:val="00386153"/>
    <w:rsid w:val="003C7240"/>
    <w:rsid w:val="003D430F"/>
    <w:rsid w:val="003D6718"/>
    <w:rsid w:val="003E7374"/>
    <w:rsid w:val="003F2882"/>
    <w:rsid w:val="003F3B13"/>
    <w:rsid w:val="003F517F"/>
    <w:rsid w:val="00414047"/>
    <w:rsid w:val="00417338"/>
    <w:rsid w:val="00417E62"/>
    <w:rsid w:val="00425BFA"/>
    <w:rsid w:val="00426E99"/>
    <w:rsid w:val="00456A5D"/>
    <w:rsid w:val="0046003F"/>
    <w:rsid w:val="004855B7"/>
    <w:rsid w:val="00493F04"/>
    <w:rsid w:val="004A2939"/>
    <w:rsid w:val="004A3A17"/>
    <w:rsid w:val="004A5A5F"/>
    <w:rsid w:val="004B310D"/>
    <w:rsid w:val="004B3861"/>
    <w:rsid w:val="004B5C5A"/>
    <w:rsid w:val="004B728C"/>
    <w:rsid w:val="004C3F1D"/>
    <w:rsid w:val="004C49A7"/>
    <w:rsid w:val="004C6976"/>
    <w:rsid w:val="004C70C0"/>
    <w:rsid w:val="004C7D1C"/>
    <w:rsid w:val="004F5071"/>
    <w:rsid w:val="00501A5A"/>
    <w:rsid w:val="00503D2F"/>
    <w:rsid w:val="00506142"/>
    <w:rsid w:val="00506738"/>
    <w:rsid w:val="005122BA"/>
    <w:rsid w:val="00526A39"/>
    <w:rsid w:val="0053518C"/>
    <w:rsid w:val="00536003"/>
    <w:rsid w:val="005408EC"/>
    <w:rsid w:val="00542234"/>
    <w:rsid w:val="00555031"/>
    <w:rsid w:val="0056204C"/>
    <w:rsid w:val="005801D3"/>
    <w:rsid w:val="00584C45"/>
    <w:rsid w:val="005A4A78"/>
    <w:rsid w:val="005B378E"/>
    <w:rsid w:val="005B5314"/>
    <w:rsid w:val="005C2DCD"/>
    <w:rsid w:val="005C59AE"/>
    <w:rsid w:val="005C628F"/>
    <w:rsid w:val="005E0248"/>
    <w:rsid w:val="005E1E48"/>
    <w:rsid w:val="005E4291"/>
    <w:rsid w:val="005E525A"/>
    <w:rsid w:val="006024B8"/>
    <w:rsid w:val="006079AA"/>
    <w:rsid w:val="00625006"/>
    <w:rsid w:val="00630B94"/>
    <w:rsid w:val="00650342"/>
    <w:rsid w:val="006631B6"/>
    <w:rsid w:val="00666244"/>
    <w:rsid w:val="00672A74"/>
    <w:rsid w:val="00673B5B"/>
    <w:rsid w:val="006805A4"/>
    <w:rsid w:val="006915B6"/>
    <w:rsid w:val="006A162C"/>
    <w:rsid w:val="006C2736"/>
    <w:rsid w:val="006C7C32"/>
    <w:rsid w:val="006D34FD"/>
    <w:rsid w:val="006F2B1F"/>
    <w:rsid w:val="006F607E"/>
    <w:rsid w:val="00700235"/>
    <w:rsid w:val="00700E19"/>
    <w:rsid w:val="007067E9"/>
    <w:rsid w:val="00720791"/>
    <w:rsid w:val="00723A0B"/>
    <w:rsid w:val="007250AD"/>
    <w:rsid w:val="00725D4F"/>
    <w:rsid w:val="0074216B"/>
    <w:rsid w:val="007516E7"/>
    <w:rsid w:val="00757763"/>
    <w:rsid w:val="00774495"/>
    <w:rsid w:val="00775864"/>
    <w:rsid w:val="00777D03"/>
    <w:rsid w:val="007C0C06"/>
    <w:rsid w:val="007C50F7"/>
    <w:rsid w:val="007E4400"/>
    <w:rsid w:val="007E5299"/>
    <w:rsid w:val="007F1281"/>
    <w:rsid w:val="007F1E9A"/>
    <w:rsid w:val="0080362E"/>
    <w:rsid w:val="00805B29"/>
    <w:rsid w:val="00807159"/>
    <w:rsid w:val="00807B3D"/>
    <w:rsid w:val="00815382"/>
    <w:rsid w:val="00823666"/>
    <w:rsid w:val="00823EB8"/>
    <w:rsid w:val="00832740"/>
    <w:rsid w:val="00844C52"/>
    <w:rsid w:val="00853A5F"/>
    <w:rsid w:val="00860D55"/>
    <w:rsid w:val="008634D9"/>
    <w:rsid w:val="00863E6D"/>
    <w:rsid w:val="00875F8E"/>
    <w:rsid w:val="00887839"/>
    <w:rsid w:val="008901EC"/>
    <w:rsid w:val="00890855"/>
    <w:rsid w:val="008911BC"/>
    <w:rsid w:val="008A3694"/>
    <w:rsid w:val="008A4310"/>
    <w:rsid w:val="008C0057"/>
    <w:rsid w:val="008C54A7"/>
    <w:rsid w:val="008D19E5"/>
    <w:rsid w:val="008D4BD1"/>
    <w:rsid w:val="008E2CCB"/>
    <w:rsid w:val="008F13E5"/>
    <w:rsid w:val="009419BF"/>
    <w:rsid w:val="00941D8E"/>
    <w:rsid w:val="00944F83"/>
    <w:rsid w:val="009465B7"/>
    <w:rsid w:val="0094784F"/>
    <w:rsid w:val="00957323"/>
    <w:rsid w:val="00957760"/>
    <w:rsid w:val="009627C4"/>
    <w:rsid w:val="0096396D"/>
    <w:rsid w:val="0097254D"/>
    <w:rsid w:val="0097305E"/>
    <w:rsid w:val="009739AE"/>
    <w:rsid w:val="00984FEF"/>
    <w:rsid w:val="00991A7E"/>
    <w:rsid w:val="00997DB9"/>
    <w:rsid w:val="009A56AB"/>
    <w:rsid w:val="009B27D2"/>
    <w:rsid w:val="009B3000"/>
    <w:rsid w:val="009C0AC8"/>
    <w:rsid w:val="009C6BB5"/>
    <w:rsid w:val="009D58E4"/>
    <w:rsid w:val="009D63CA"/>
    <w:rsid w:val="009E3958"/>
    <w:rsid w:val="009E661A"/>
    <w:rsid w:val="009F4102"/>
    <w:rsid w:val="00A063A7"/>
    <w:rsid w:val="00A1226B"/>
    <w:rsid w:val="00A178BE"/>
    <w:rsid w:val="00A25E23"/>
    <w:rsid w:val="00A302A3"/>
    <w:rsid w:val="00A42BE6"/>
    <w:rsid w:val="00A4672E"/>
    <w:rsid w:val="00A52899"/>
    <w:rsid w:val="00A60F0B"/>
    <w:rsid w:val="00A6530B"/>
    <w:rsid w:val="00AC3EBB"/>
    <w:rsid w:val="00AE332F"/>
    <w:rsid w:val="00AE537C"/>
    <w:rsid w:val="00AF3D11"/>
    <w:rsid w:val="00B04A98"/>
    <w:rsid w:val="00B15EC3"/>
    <w:rsid w:val="00B223EA"/>
    <w:rsid w:val="00B224EB"/>
    <w:rsid w:val="00B23BD0"/>
    <w:rsid w:val="00B24067"/>
    <w:rsid w:val="00B25915"/>
    <w:rsid w:val="00B27F00"/>
    <w:rsid w:val="00B40ADC"/>
    <w:rsid w:val="00B4658C"/>
    <w:rsid w:val="00B50167"/>
    <w:rsid w:val="00B77287"/>
    <w:rsid w:val="00B9480A"/>
    <w:rsid w:val="00BA66B7"/>
    <w:rsid w:val="00BA6847"/>
    <w:rsid w:val="00BB35BE"/>
    <w:rsid w:val="00BC241A"/>
    <w:rsid w:val="00BD4BC3"/>
    <w:rsid w:val="00BE0E18"/>
    <w:rsid w:val="00BF094E"/>
    <w:rsid w:val="00C10C6F"/>
    <w:rsid w:val="00C15651"/>
    <w:rsid w:val="00C25081"/>
    <w:rsid w:val="00C41F5D"/>
    <w:rsid w:val="00C437EB"/>
    <w:rsid w:val="00C62ADB"/>
    <w:rsid w:val="00C63FE2"/>
    <w:rsid w:val="00C66FF6"/>
    <w:rsid w:val="00C70F9B"/>
    <w:rsid w:val="00C74ED3"/>
    <w:rsid w:val="00C80D12"/>
    <w:rsid w:val="00C83763"/>
    <w:rsid w:val="00C84D69"/>
    <w:rsid w:val="00C911EE"/>
    <w:rsid w:val="00C91879"/>
    <w:rsid w:val="00C95840"/>
    <w:rsid w:val="00CA4F5C"/>
    <w:rsid w:val="00CA731B"/>
    <w:rsid w:val="00CB296D"/>
    <w:rsid w:val="00CC2C3D"/>
    <w:rsid w:val="00CD7A49"/>
    <w:rsid w:val="00CF5148"/>
    <w:rsid w:val="00D07523"/>
    <w:rsid w:val="00D075C9"/>
    <w:rsid w:val="00D12835"/>
    <w:rsid w:val="00D13284"/>
    <w:rsid w:val="00D20A77"/>
    <w:rsid w:val="00D24947"/>
    <w:rsid w:val="00D34AEA"/>
    <w:rsid w:val="00D35103"/>
    <w:rsid w:val="00D37CA2"/>
    <w:rsid w:val="00D4352F"/>
    <w:rsid w:val="00D470BE"/>
    <w:rsid w:val="00D525F1"/>
    <w:rsid w:val="00D91FFC"/>
    <w:rsid w:val="00DA40EC"/>
    <w:rsid w:val="00DB4ABE"/>
    <w:rsid w:val="00DC43E3"/>
    <w:rsid w:val="00DC4486"/>
    <w:rsid w:val="00DD5291"/>
    <w:rsid w:val="00DE22AA"/>
    <w:rsid w:val="00DE3A25"/>
    <w:rsid w:val="00DE4F63"/>
    <w:rsid w:val="00DE510A"/>
    <w:rsid w:val="00DF563A"/>
    <w:rsid w:val="00E07FA4"/>
    <w:rsid w:val="00E13A2F"/>
    <w:rsid w:val="00E17C5F"/>
    <w:rsid w:val="00E30A08"/>
    <w:rsid w:val="00E82127"/>
    <w:rsid w:val="00EA3183"/>
    <w:rsid w:val="00EA4D07"/>
    <w:rsid w:val="00EA719C"/>
    <w:rsid w:val="00EB238A"/>
    <w:rsid w:val="00EC55CF"/>
    <w:rsid w:val="00ED425D"/>
    <w:rsid w:val="00EE4D74"/>
    <w:rsid w:val="00F447B0"/>
    <w:rsid w:val="00F44B03"/>
    <w:rsid w:val="00F44E1E"/>
    <w:rsid w:val="00F45FF7"/>
    <w:rsid w:val="00F52DFC"/>
    <w:rsid w:val="00F57DC9"/>
    <w:rsid w:val="00F6014E"/>
    <w:rsid w:val="00F61DD0"/>
    <w:rsid w:val="00F6591C"/>
    <w:rsid w:val="00F81284"/>
    <w:rsid w:val="00F92A7B"/>
    <w:rsid w:val="00F975E7"/>
    <w:rsid w:val="00FA4DF3"/>
    <w:rsid w:val="00FA5F1A"/>
    <w:rsid w:val="00FB1FF6"/>
    <w:rsid w:val="00FB2EB7"/>
    <w:rsid w:val="00FB5618"/>
    <w:rsid w:val="00FF1E60"/>
    <w:rsid w:val="00FF4C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58D2AD"/>
  <w15:docId w15:val="{9241C635-BC65-47A0-B26B-E60151C5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D1"/>
    <w:pPr>
      <w:spacing w:after="0" w:line="240" w:lineRule="auto"/>
    </w:pPr>
    <w:rPr>
      <w:rFonts w:ascii="Calibri" w:hAnsi="Calibri" w:cs="Calibri"/>
    </w:rPr>
  </w:style>
  <w:style w:type="paragraph" w:styleId="Heading1">
    <w:name w:val="heading 1"/>
    <w:basedOn w:val="Normal"/>
    <w:next w:val="Normal"/>
    <w:link w:val="Heading1Char"/>
    <w:uiPriority w:val="9"/>
    <w:qFormat/>
    <w:rsid w:val="007E529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C0C06"/>
    <w:pPr>
      <w:spacing w:before="100" w:beforeAutospacing="1" w:after="100" w:afterAutospacing="1"/>
      <w:outlineLvl w:val="1"/>
    </w:pPr>
    <w:rPr>
      <w:rFonts w:asciiTheme="minorHAnsi" w:eastAsia="Times New Roman" w:hAnsiTheme="minorHAnsi" w:cstheme="minorHAnsi"/>
      <w:b/>
      <w:bCs/>
      <w:sz w:val="32"/>
      <w:szCs w:val="32"/>
      <w:lang w:eastAsia="en-AU"/>
    </w:rPr>
  </w:style>
  <w:style w:type="paragraph" w:styleId="Heading3">
    <w:name w:val="heading 3"/>
    <w:basedOn w:val="Normal"/>
    <w:next w:val="Normal"/>
    <w:link w:val="Heading3Char"/>
    <w:uiPriority w:val="9"/>
    <w:unhideWhenUsed/>
    <w:qFormat/>
    <w:rsid w:val="007C0C06"/>
    <w:pPr>
      <w:keepNext/>
      <w:keepLines/>
      <w:spacing w:before="120" w:after="120" w:line="259" w:lineRule="auto"/>
      <w:outlineLvl w:val="2"/>
    </w:pPr>
    <w:rPr>
      <w:rFonts w:asciiTheme="majorHAnsi" w:eastAsiaTheme="majorEastAsia" w:hAnsiTheme="majorHAnsi" w:cstheme="majorBidi"/>
      <w:color w:val="1F4D78" w:themeColor="accent1" w:themeShade="7F"/>
      <w:sz w:val="28"/>
      <w:szCs w:val="28"/>
    </w:rPr>
  </w:style>
  <w:style w:type="paragraph" w:styleId="Heading4">
    <w:name w:val="heading 4"/>
    <w:basedOn w:val="Normal"/>
    <w:next w:val="Normal"/>
    <w:link w:val="Heading4Char"/>
    <w:uiPriority w:val="9"/>
    <w:unhideWhenUsed/>
    <w:qFormat/>
    <w:rsid w:val="007C0C06"/>
    <w:pPr>
      <w:keepNext/>
      <w:keepLines/>
      <w:spacing w:before="120" w:after="120" w:line="259" w:lineRule="auto"/>
      <w:outlineLvl w:val="3"/>
    </w:pPr>
    <w:rPr>
      <w:rFonts w:asciiTheme="majorHAnsi" w:eastAsiaTheme="majorEastAsia" w:hAnsiTheme="majorHAnsi" w:cstheme="majorBidi"/>
      <w:b/>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C06"/>
    <w:rPr>
      <w:rFonts w:eastAsia="Times New Roman" w:cstheme="minorHAnsi"/>
      <w:b/>
      <w:bCs/>
      <w:sz w:val="32"/>
      <w:szCs w:val="32"/>
      <w:lang w:eastAsia="en-AU"/>
    </w:rPr>
  </w:style>
  <w:style w:type="paragraph" w:styleId="NormalWeb">
    <w:name w:val="Normal (Web)"/>
    <w:basedOn w:val="Normal"/>
    <w:uiPriority w:val="99"/>
    <w:unhideWhenUsed/>
    <w:rsid w:val="00853A5F"/>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5F"/>
    <w:rPr>
      <w:color w:val="0000FF"/>
      <w:u w:val="single"/>
    </w:rPr>
  </w:style>
  <w:style w:type="paragraph" w:styleId="Header">
    <w:name w:val="header"/>
    <w:basedOn w:val="Normal"/>
    <w:link w:val="HeaderChar"/>
    <w:uiPriority w:val="99"/>
    <w:unhideWhenUsed/>
    <w:rsid w:val="00853A5F"/>
    <w:pPr>
      <w:tabs>
        <w:tab w:val="center" w:pos="4513"/>
        <w:tab w:val="right" w:pos="9026"/>
      </w:tabs>
    </w:pPr>
  </w:style>
  <w:style w:type="character" w:customStyle="1" w:styleId="HeaderChar">
    <w:name w:val="Header Char"/>
    <w:basedOn w:val="DefaultParagraphFont"/>
    <w:link w:val="Header"/>
    <w:uiPriority w:val="99"/>
    <w:rsid w:val="00853A5F"/>
  </w:style>
  <w:style w:type="paragraph" w:styleId="Footer">
    <w:name w:val="footer"/>
    <w:basedOn w:val="Normal"/>
    <w:link w:val="FooterChar"/>
    <w:uiPriority w:val="99"/>
    <w:unhideWhenUsed/>
    <w:rsid w:val="00853A5F"/>
    <w:pPr>
      <w:tabs>
        <w:tab w:val="center" w:pos="4513"/>
        <w:tab w:val="right" w:pos="9026"/>
      </w:tabs>
    </w:pPr>
  </w:style>
  <w:style w:type="character" w:customStyle="1" w:styleId="FooterChar">
    <w:name w:val="Footer Char"/>
    <w:basedOn w:val="DefaultParagraphFont"/>
    <w:link w:val="Footer"/>
    <w:uiPriority w:val="99"/>
    <w:rsid w:val="00853A5F"/>
  </w:style>
  <w:style w:type="paragraph" w:styleId="FootnoteText">
    <w:name w:val="footnote text"/>
    <w:basedOn w:val="Normal"/>
    <w:link w:val="FootnoteTextChar"/>
    <w:uiPriority w:val="99"/>
    <w:unhideWhenUsed/>
    <w:rsid w:val="00A1226B"/>
    <w:rPr>
      <w:sz w:val="20"/>
      <w:szCs w:val="20"/>
    </w:rPr>
  </w:style>
  <w:style w:type="character" w:customStyle="1" w:styleId="FootnoteTextChar">
    <w:name w:val="Footnote Text Char"/>
    <w:basedOn w:val="DefaultParagraphFont"/>
    <w:link w:val="FootnoteText"/>
    <w:uiPriority w:val="99"/>
    <w:rsid w:val="00A1226B"/>
    <w:rPr>
      <w:sz w:val="20"/>
      <w:szCs w:val="20"/>
    </w:rPr>
  </w:style>
  <w:style w:type="character" w:styleId="FootnoteReference">
    <w:name w:val="footnote reference"/>
    <w:basedOn w:val="DefaultParagraphFont"/>
    <w:uiPriority w:val="99"/>
    <w:semiHidden/>
    <w:unhideWhenUsed/>
    <w:rsid w:val="00A1226B"/>
    <w:rPr>
      <w:vertAlign w:val="superscript"/>
    </w:rPr>
  </w:style>
  <w:style w:type="character" w:styleId="FollowedHyperlink">
    <w:name w:val="FollowedHyperlink"/>
    <w:basedOn w:val="DefaultParagraphFont"/>
    <w:uiPriority w:val="99"/>
    <w:semiHidden/>
    <w:unhideWhenUsed/>
    <w:rsid w:val="009627C4"/>
    <w:rPr>
      <w:color w:val="954F72" w:themeColor="followedHyperlink"/>
      <w:u w:val="single"/>
    </w:rPr>
  </w:style>
  <w:style w:type="paragraph" w:styleId="ListParagraph">
    <w:name w:val="List Paragraph"/>
    <w:basedOn w:val="Normal"/>
    <w:uiPriority w:val="34"/>
    <w:qFormat/>
    <w:rsid w:val="00C91879"/>
    <w:pPr>
      <w:ind w:left="720"/>
      <w:contextualSpacing/>
    </w:pPr>
  </w:style>
  <w:style w:type="paragraph" w:styleId="BalloonText">
    <w:name w:val="Balloon Text"/>
    <w:basedOn w:val="Normal"/>
    <w:link w:val="BalloonTextChar"/>
    <w:uiPriority w:val="99"/>
    <w:semiHidden/>
    <w:unhideWhenUsed/>
    <w:rsid w:val="00972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customStyle="1" w:styleId="TableTextBase">
    <w:name w:val="Table Text Base"/>
    <w:rsid w:val="00700E19"/>
    <w:pPr>
      <w:spacing w:before="40" w:after="40" w:line="240" w:lineRule="auto"/>
    </w:pPr>
    <w:rPr>
      <w:rFonts w:ascii="Arial" w:eastAsia="Times New Roman" w:hAnsi="Arial" w:cs="Times New Roman"/>
      <w:color w:val="000000"/>
      <w:sz w:val="16"/>
      <w:szCs w:val="20"/>
      <w:lang w:eastAsia="en-AU"/>
    </w:rPr>
  </w:style>
  <w:style w:type="character" w:styleId="CommentReference">
    <w:name w:val="annotation reference"/>
    <w:basedOn w:val="DefaultParagraphFont"/>
    <w:uiPriority w:val="99"/>
    <w:semiHidden/>
    <w:unhideWhenUsed/>
    <w:rsid w:val="00ED425D"/>
    <w:rPr>
      <w:sz w:val="16"/>
      <w:szCs w:val="16"/>
    </w:rPr>
  </w:style>
  <w:style w:type="paragraph" w:styleId="CommentText">
    <w:name w:val="annotation text"/>
    <w:basedOn w:val="Normal"/>
    <w:link w:val="CommentTextChar"/>
    <w:uiPriority w:val="99"/>
    <w:semiHidden/>
    <w:unhideWhenUsed/>
    <w:rsid w:val="00ED425D"/>
    <w:rPr>
      <w:sz w:val="20"/>
      <w:szCs w:val="20"/>
    </w:rPr>
  </w:style>
  <w:style w:type="character" w:customStyle="1" w:styleId="CommentTextChar">
    <w:name w:val="Comment Text Char"/>
    <w:basedOn w:val="DefaultParagraphFont"/>
    <w:link w:val="CommentText"/>
    <w:uiPriority w:val="99"/>
    <w:semiHidden/>
    <w:rsid w:val="00ED425D"/>
    <w:rPr>
      <w:sz w:val="20"/>
      <w:szCs w:val="20"/>
    </w:rPr>
  </w:style>
  <w:style w:type="paragraph" w:styleId="CommentSubject">
    <w:name w:val="annotation subject"/>
    <w:basedOn w:val="CommentText"/>
    <w:next w:val="CommentText"/>
    <w:link w:val="CommentSubjectChar"/>
    <w:uiPriority w:val="99"/>
    <w:semiHidden/>
    <w:unhideWhenUsed/>
    <w:rsid w:val="004A5A5F"/>
    <w:rPr>
      <w:b/>
      <w:bCs/>
    </w:rPr>
  </w:style>
  <w:style w:type="character" w:customStyle="1" w:styleId="CommentSubjectChar">
    <w:name w:val="Comment Subject Char"/>
    <w:basedOn w:val="CommentTextChar"/>
    <w:link w:val="CommentSubject"/>
    <w:uiPriority w:val="99"/>
    <w:semiHidden/>
    <w:rsid w:val="004A5A5F"/>
    <w:rPr>
      <w:b/>
      <w:bCs/>
      <w:sz w:val="20"/>
      <w:szCs w:val="20"/>
    </w:rPr>
  </w:style>
  <w:style w:type="paragraph" w:customStyle="1" w:styleId="instructions">
    <w:name w:val="instructions"/>
    <w:basedOn w:val="Normal"/>
    <w:rsid w:val="00F45FF7"/>
    <w:pPr>
      <w:spacing w:after="120"/>
    </w:pPr>
    <w:rPr>
      <w:rFonts w:eastAsia="Times New Roman" w:cs="Arial"/>
      <w:color w:val="FF0000"/>
      <w:sz w:val="18"/>
      <w:szCs w:val="20"/>
    </w:rPr>
  </w:style>
  <w:style w:type="character" w:customStyle="1" w:styleId="Heading1Char">
    <w:name w:val="Heading 1 Char"/>
    <w:basedOn w:val="DefaultParagraphFont"/>
    <w:link w:val="Heading1"/>
    <w:uiPriority w:val="9"/>
    <w:rsid w:val="007E52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C0C06"/>
    <w:rPr>
      <w:rFonts w:asciiTheme="majorHAnsi" w:eastAsiaTheme="majorEastAsia" w:hAnsiTheme="majorHAnsi" w:cstheme="majorBidi"/>
      <w:color w:val="1F4D78" w:themeColor="accent1" w:themeShade="7F"/>
      <w:sz w:val="28"/>
      <w:szCs w:val="28"/>
    </w:rPr>
  </w:style>
  <w:style w:type="character" w:customStyle="1" w:styleId="Heading4Char">
    <w:name w:val="Heading 4 Char"/>
    <w:basedOn w:val="DefaultParagraphFont"/>
    <w:link w:val="Heading4"/>
    <w:uiPriority w:val="9"/>
    <w:rsid w:val="007C0C06"/>
    <w:rPr>
      <w:rFonts w:asciiTheme="majorHAnsi" w:eastAsiaTheme="majorEastAsia" w:hAnsiTheme="majorHAnsi" w:cstheme="majorBidi"/>
      <w:b/>
      <w:i/>
      <w:iCs/>
      <w:color w:val="2E74B5" w:themeColor="accent1" w:themeShade="BF"/>
      <w:sz w:val="24"/>
    </w:rPr>
  </w:style>
  <w:style w:type="paragraph" w:styleId="BodyText">
    <w:name w:val="Body Text"/>
    <w:link w:val="BodyTextChar"/>
    <w:qFormat/>
    <w:rsid w:val="007E5299"/>
    <w:pPr>
      <w:spacing w:before="60" w:after="60" w:line="264" w:lineRule="auto"/>
    </w:pPr>
    <w:rPr>
      <w:rFonts w:ascii="Calibri" w:eastAsia="Calibri" w:hAnsi="Calibri" w:cs="Times New Roman"/>
      <w:color w:val="000000"/>
      <w:sz w:val="20"/>
      <w:lang w:eastAsia="en-AU"/>
    </w:rPr>
  </w:style>
  <w:style w:type="character" w:customStyle="1" w:styleId="BodyTextChar">
    <w:name w:val="Body Text Char"/>
    <w:basedOn w:val="DefaultParagraphFont"/>
    <w:link w:val="BodyText"/>
    <w:rsid w:val="007E5299"/>
    <w:rPr>
      <w:rFonts w:ascii="Calibri" w:eastAsia="Calibri" w:hAnsi="Calibri" w:cs="Times New Roman"/>
      <w:color w:val="000000"/>
      <w:sz w:val="20"/>
      <w:lang w:eastAsia="en-AU"/>
    </w:rPr>
  </w:style>
  <w:style w:type="character" w:styleId="UnresolvedMention">
    <w:name w:val="Unresolved Mention"/>
    <w:basedOn w:val="DefaultParagraphFont"/>
    <w:uiPriority w:val="99"/>
    <w:semiHidden/>
    <w:unhideWhenUsed/>
    <w:rsid w:val="008E2CCB"/>
    <w:rPr>
      <w:color w:val="605E5C"/>
      <w:shd w:val="clear" w:color="auto" w:fill="E1DFDD"/>
    </w:rPr>
  </w:style>
  <w:style w:type="table" w:styleId="TableGrid">
    <w:name w:val="Table Grid"/>
    <w:aliases w:val="ACCC Table"/>
    <w:basedOn w:val="TableNormal"/>
    <w:uiPriority w:val="59"/>
    <w:rsid w:val="008D19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Bullet"/>
    <w:uiPriority w:val="99"/>
    <w:qFormat/>
    <w:rsid w:val="008D19E5"/>
    <w:pPr>
      <w:numPr>
        <w:numId w:val="25"/>
      </w:numPr>
      <w:tabs>
        <w:tab w:val="left" w:pos="340"/>
      </w:tabs>
      <w:spacing w:before="120" w:after="0" w:line="240" w:lineRule="auto"/>
      <w:contextualSpacing w:val="0"/>
    </w:pPr>
    <w:rPr>
      <w:rFonts w:ascii="Arial" w:hAnsi="Arial" w:cs="Times New Roman"/>
    </w:rPr>
  </w:style>
  <w:style w:type="paragraph" w:styleId="ListBullet">
    <w:name w:val="List Bullet"/>
    <w:basedOn w:val="Normal"/>
    <w:uiPriority w:val="99"/>
    <w:semiHidden/>
    <w:unhideWhenUsed/>
    <w:rsid w:val="008D19E5"/>
    <w:pPr>
      <w:numPr>
        <w:numId w:val="24"/>
      </w:numPr>
      <w:spacing w:after="160" w:line="259" w:lineRule="auto"/>
      <w:contextualSpacing/>
    </w:pPr>
    <w:rPr>
      <w:rFonts w:asciiTheme="minorHAnsi" w:hAnsiTheme="minorHAnsi" w:cstheme="minorBidi"/>
    </w:rPr>
  </w:style>
  <w:style w:type="paragraph" w:customStyle="1" w:styleId="xmsonormal">
    <w:name w:val="x_msonormal"/>
    <w:basedOn w:val="Normal"/>
    <w:uiPriority w:val="99"/>
    <w:semiHidden/>
    <w:rsid w:val="005E4291"/>
    <w:rPr>
      <w:lang w:eastAsia="en-AU"/>
    </w:rPr>
  </w:style>
  <w:style w:type="paragraph" w:styleId="Revision">
    <w:name w:val="Revision"/>
    <w:hidden/>
    <w:uiPriority w:val="99"/>
    <w:semiHidden/>
    <w:rsid w:val="005E429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479">
      <w:bodyDiv w:val="1"/>
      <w:marLeft w:val="0"/>
      <w:marRight w:val="0"/>
      <w:marTop w:val="0"/>
      <w:marBottom w:val="0"/>
      <w:divBdr>
        <w:top w:val="none" w:sz="0" w:space="0" w:color="auto"/>
        <w:left w:val="none" w:sz="0" w:space="0" w:color="auto"/>
        <w:bottom w:val="none" w:sz="0" w:space="0" w:color="auto"/>
        <w:right w:val="none" w:sz="0" w:space="0" w:color="auto"/>
      </w:divBdr>
    </w:div>
    <w:div w:id="286206760">
      <w:bodyDiv w:val="1"/>
      <w:marLeft w:val="0"/>
      <w:marRight w:val="0"/>
      <w:marTop w:val="0"/>
      <w:marBottom w:val="0"/>
      <w:divBdr>
        <w:top w:val="none" w:sz="0" w:space="0" w:color="auto"/>
        <w:left w:val="none" w:sz="0" w:space="0" w:color="auto"/>
        <w:bottom w:val="none" w:sz="0" w:space="0" w:color="auto"/>
        <w:right w:val="none" w:sz="0" w:space="0" w:color="auto"/>
      </w:divBdr>
    </w:div>
    <w:div w:id="424230797">
      <w:bodyDiv w:val="1"/>
      <w:marLeft w:val="0"/>
      <w:marRight w:val="0"/>
      <w:marTop w:val="0"/>
      <w:marBottom w:val="0"/>
      <w:divBdr>
        <w:top w:val="none" w:sz="0" w:space="0" w:color="auto"/>
        <w:left w:val="none" w:sz="0" w:space="0" w:color="auto"/>
        <w:bottom w:val="none" w:sz="0" w:space="0" w:color="auto"/>
        <w:right w:val="none" w:sz="0" w:space="0" w:color="auto"/>
      </w:divBdr>
    </w:div>
    <w:div w:id="562449309">
      <w:bodyDiv w:val="1"/>
      <w:marLeft w:val="0"/>
      <w:marRight w:val="0"/>
      <w:marTop w:val="0"/>
      <w:marBottom w:val="0"/>
      <w:divBdr>
        <w:top w:val="none" w:sz="0" w:space="0" w:color="auto"/>
        <w:left w:val="none" w:sz="0" w:space="0" w:color="auto"/>
        <w:bottom w:val="none" w:sz="0" w:space="0" w:color="auto"/>
        <w:right w:val="none" w:sz="0" w:space="0" w:color="auto"/>
      </w:divBdr>
    </w:div>
    <w:div w:id="649948313">
      <w:bodyDiv w:val="1"/>
      <w:marLeft w:val="0"/>
      <w:marRight w:val="0"/>
      <w:marTop w:val="0"/>
      <w:marBottom w:val="0"/>
      <w:divBdr>
        <w:top w:val="none" w:sz="0" w:space="0" w:color="auto"/>
        <w:left w:val="none" w:sz="0" w:space="0" w:color="auto"/>
        <w:bottom w:val="none" w:sz="0" w:space="0" w:color="auto"/>
        <w:right w:val="none" w:sz="0" w:space="0" w:color="auto"/>
      </w:divBdr>
    </w:div>
    <w:div w:id="731347110">
      <w:bodyDiv w:val="1"/>
      <w:marLeft w:val="0"/>
      <w:marRight w:val="0"/>
      <w:marTop w:val="0"/>
      <w:marBottom w:val="0"/>
      <w:divBdr>
        <w:top w:val="none" w:sz="0" w:space="0" w:color="auto"/>
        <w:left w:val="none" w:sz="0" w:space="0" w:color="auto"/>
        <w:bottom w:val="none" w:sz="0" w:space="0" w:color="auto"/>
        <w:right w:val="none" w:sz="0" w:space="0" w:color="auto"/>
      </w:divBdr>
    </w:div>
    <w:div w:id="739792437">
      <w:bodyDiv w:val="1"/>
      <w:marLeft w:val="0"/>
      <w:marRight w:val="0"/>
      <w:marTop w:val="0"/>
      <w:marBottom w:val="0"/>
      <w:divBdr>
        <w:top w:val="none" w:sz="0" w:space="0" w:color="auto"/>
        <w:left w:val="none" w:sz="0" w:space="0" w:color="auto"/>
        <w:bottom w:val="none" w:sz="0" w:space="0" w:color="auto"/>
        <w:right w:val="none" w:sz="0" w:space="0" w:color="auto"/>
      </w:divBdr>
    </w:div>
    <w:div w:id="867336084">
      <w:bodyDiv w:val="1"/>
      <w:marLeft w:val="0"/>
      <w:marRight w:val="0"/>
      <w:marTop w:val="0"/>
      <w:marBottom w:val="0"/>
      <w:divBdr>
        <w:top w:val="none" w:sz="0" w:space="0" w:color="auto"/>
        <w:left w:val="none" w:sz="0" w:space="0" w:color="auto"/>
        <w:bottom w:val="none" w:sz="0" w:space="0" w:color="auto"/>
        <w:right w:val="none" w:sz="0" w:space="0" w:color="auto"/>
      </w:divBdr>
    </w:div>
    <w:div w:id="1164130462">
      <w:bodyDiv w:val="1"/>
      <w:marLeft w:val="0"/>
      <w:marRight w:val="0"/>
      <w:marTop w:val="0"/>
      <w:marBottom w:val="0"/>
      <w:divBdr>
        <w:top w:val="none" w:sz="0" w:space="0" w:color="auto"/>
        <w:left w:val="none" w:sz="0" w:space="0" w:color="auto"/>
        <w:bottom w:val="none" w:sz="0" w:space="0" w:color="auto"/>
        <w:right w:val="none" w:sz="0" w:space="0" w:color="auto"/>
      </w:divBdr>
    </w:div>
    <w:div w:id="1944535731">
      <w:bodyDiv w:val="1"/>
      <w:marLeft w:val="0"/>
      <w:marRight w:val="0"/>
      <w:marTop w:val="0"/>
      <w:marBottom w:val="0"/>
      <w:divBdr>
        <w:top w:val="none" w:sz="0" w:space="0" w:color="auto"/>
        <w:left w:val="none" w:sz="0" w:space="0" w:color="auto"/>
        <w:bottom w:val="none" w:sz="0" w:space="0" w:color="auto"/>
        <w:right w:val="none" w:sz="0" w:space="0" w:color="auto"/>
      </w:divBdr>
    </w:div>
    <w:div w:id="21087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datastandards.org.au/wp-content/uploads/2018/11/Working-Draft_CDR_2-November-2018-1.pdf" TargetMode="External"/><Relationship Id="rId13" Type="http://schemas.openxmlformats.org/officeDocument/2006/relationships/hyperlink" Target="https://consumerdatastandards.org.au/reports/" TargetMode="External"/><Relationship Id="rId18" Type="http://schemas.openxmlformats.org/officeDocument/2006/relationships/header" Target="header2.xml"/><Relationship Id="rId26" Type="http://schemas.openxmlformats.org/officeDocument/2006/relationships/hyperlink" Target="https://invis.io/B2RZVRSNRP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vis.io/VUQLQWFP8AM" TargetMode="External"/><Relationship Id="rId34" Type="http://schemas.openxmlformats.org/officeDocument/2006/relationships/hyperlink" Target="mailto:cdr-data61@csiro.au" TargetMode="External"/><Relationship Id="rId7" Type="http://schemas.openxmlformats.org/officeDocument/2006/relationships/endnotes" Target="endnotes.xml"/><Relationship Id="rId12" Type="http://schemas.openxmlformats.org/officeDocument/2006/relationships/hyperlink" Target="https://consumerdatastandards.org.au/category/cx/" TargetMode="External"/><Relationship Id="rId17" Type="http://schemas.openxmlformats.org/officeDocument/2006/relationships/footer" Target="footer1.xml"/><Relationship Id="rId25" Type="http://schemas.openxmlformats.org/officeDocument/2006/relationships/hyperlink" Target="https://projects.invisionapp.com/share/V8RXCGZC9KY" TargetMode="External"/><Relationship Id="rId33" Type="http://schemas.openxmlformats.org/officeDocument/2006/relationships/hyperlink" Target="https://github.com/ConsumerDataStandardsAustralia/standards/issues/7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invis.io/STQLQSU645P" TargetMode="External"/><Relationship Id="rId29" Type="http://schemas.openxmlformats.org/officeDocument/2006/relationships/hyperlink" Target="https://consumerdatastandards.org.au/category/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datastandardsaustralia.github.io/standards/" TargetMode="External"/><Relationship Id="rId24" Type="http://schemas.openxmlformats.org/officeDocument/2006/relationships/hyperlink" Target="%20https://projects.invisionapp.com/share/5BRXCAPFRAK" TargetMode="External"/><Relationship Id="rId32" Type="http://schemas.openxmlformats.org/officeDocument/2006/relationships/hyperlink" Target="https://github.com/ConsumerDataStandardsAustralia/standards/issues/7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sumerdatastandards.org.au/2nd-november-working-draft/" TargetMode="External"/><Relationship Id="rId23" Type="http://schemas.openxmlformats.org/officeDocument/2006/relationships/hyperlink" Target="https://projects.invisionapp.com/share/5BRXCAPFRAK" TargetMode="External"/><Relationship Id="rId28" Type="http://schemas.openxmlformats.org/officeDocument/2006/relationships/hyperlink" Target="https://invis.io/5FRWJ7PJ829" TargetMode="External"/><Relationship Id="rId36" Type="http://schemas.openxmlformats.org/officeDocument/2006/relationships/hyperlink" Target="mailto:cdr-data61@csiro.au" TargetMode="External"/><Relationship Id="rId10" Type="http://schemas.openxmlformats.org/officeDocument/2006/relationships/hyperlink" Target="https://consumerdatastandardsaustralia.github.io/standards/" TargetMode="External"/><Relationship Id="rId19" Type="http://schemas.openxmlformats.org/officeDocument/2006/relationships/hyperlink" Target="https://consumerdatastandards.org.au/wp-content/uploads/2019/02/Consumer-Data-Standards-Phase-1_-CX-Report.pdf" TargetMode="External"/><Relationship Id="rId31" Type="http://schemas.openxmlformats.org/officeDocument/2006/relationships/hyperlink" Target="https://consumerdatastandardsaustralia.github.io/engineering/artefacts/" TargetMode="External"/><Relationship Id="rId4" Type="http://schemas.openxmlformats.org/officeDocument/2006/relationships/settings" Target="settings.xml"/><Relationship Id="rId9" Type="http://schemas.openxmlformats.org/officeDocument/2006/relationships/hyperlink" Target="https://consumerdatastandards.org.au/workinggroups/" TargetMode="External"/><Relationship Id="rId14" Type="http://schemas.openxmlformats.org/officeDocument/2006/relationships/hyperlink" Target="https://consumerdatastandardsaustralia.github.io/engineering/" TargetMode="External"/><Relationship Id="rId22" Type="http://schemas.openxmlformats.org/officeDocument/2006/relationships/hyperlink" Target="https://projects.invisionapp.com/share/5BRXCAPFRAK" TargetMode="External"/><Relationship Id="rId27" Type="http://schemas.openxmlformats.org/officeDocument/2006/relationships/hyperlink" Target="https://invis.io/PRRZVS2H6SA" TargetMode="External"/><Relationship Id="rId30" Type="http://schemas.openxmlformats.org/officeDocument/2006/relationships/hyperlink" Target="https://consumerdatastandards.org.au/2019/05/24/cx-consent-flow-workshop/" TargetMode="External"/><Relationship Id="rId35" Type="http://schemas.openxmlformats.org/officeDocument/2006/relationships/hyperlink" Target="https://github.com/ConsumerDataStandardsAustralia/engineering/issues/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Management\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1DEF-B494-4A2C-B685-C1B8A65A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5</TotalTime>
  <Pages>15</Pages>
  <Words>5421</Words>
  <Characters>31389</Characters>
  <Application>Microsoft Office Word</Application>
  <DocSecurity>0</DocSecurity>
  <Lines>747</Lines>
  <Paragraphs>331</Paragraphs>
  <ScaleCrop>false</ScaleCrop>
  <HeadingPairs>
    <vt:vector size="2" baseType="variant">
      <vt:variant>
        <vt:lpstr>Title</vt:lpstr>
      </vt:variant>
      <vt:variant>
        <vt:i4>1</vt:i4>
      </vt:variant>
    </vt:vector>
  </HeadingPairs>
  <TitlesOfParts>
    <vt:vector size="1" baseType="lpstr">
      <vt:lpstr>consumer data standards</vt:lpstr>
    </vt:vector>
  </TitlesOfParts>
  <Company>CSIRO</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standards</dc:title>
  <dc:subject/>
  <dc:creator>McLachlan, Terri (Data61, Eveleigh ATP)</dc:creator>
  <cp:keywords/>
  <dc:description/>
  <cp:lastModifiedBy>McLachlan, Terri (Data61, Eveleigh ATP)</cp:lastModifiedBy>
  <cp:revision>3</cp:revision>
  <cp:lastPrinted>2019-03-19T07:00:00Z</cp:lastPrinted>
  <dcterms:created xsi:type="dcterms:W3CDTF">2019-05-31T06:14:00Z</dcterms:created>
  <dcterms:modified xsi:type="dcterms:W3CDTF">2019-05-31T06:22:00Z</dcterms:modified>
</cp:coreProperties>
</file>